
<file path=[Content_Types].xml><?xml version="1.0" encoding="utf-8"?>
<Types xmlns="http://schemas.openxmlformats.org/package/2006/content-types">
  <Default Extension="png" ContentType="image/png"/>
  <Default Extension="bin"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5199542"/>
        <w:docPartObj>
          <w:docPartGallery w:val="Cover Pages"/>
          <w:docPartUnique/>
        </w:docPartObj>
      </w:sdtPr>
      <w:sdtEndPr>
        <w:rPr>
          <w:sz w:val="52"/>
          <w:szCs w:val="52"/>
          <w:lang w:val="it-IT"/>
        </w:rPr>
      </w:sdtEndPr>
      <w:sdtContent>
        <w:p w:rsidR="005B526E" w:rsidRDefault="005B526E">
          <w:r>
            <w:rPr>
              <w:noProof/>
            </w:rPr>
            <mc:AlternateContent>
              <mc:Choice Requires="wps">
                <w:drawing>
                  <wp:anchor distT="0" distB="0" distL="114300" distR="114300" simplePos="0" relativeHeight="251659264" behindDoc="1" locked="0" layoutInCell="1" allowOverlap="0" wp14:anchorId="009DB04E" wp14:editId="02204040">
                    <wp:simplePos x="0" y="0"/>
                    <wp:positionH relativeFrom="page">
                      <wp:posOffset>457200</wp:posOffset>
                    </wp:positionH>
                    <wp:positionV relativeFrom="page">
                      <wp:posOffset>457200</wp:posOffset>
                    </wp:positionV>
                    <wp:extent cx="6858000" cy="916305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6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5B526E">
                                  <w:trPr>
                                    <w:trHeight w:hRule="exact" w:val="9360"/>
                                  </w:trPr>
                                  <w:tc>
                                    <w:tcPr>
                                      <w:tcW w:w="9350" w:type="dxa"/>
                                    </w:tcPr>
                                    <w:p w:rsidR="005B526E" w:rsidRDefault="005B526E">
                                      <w:r>
                                        <w:rPr>
                                          <w:noProof/>
                                        </w:rPr>
                                        <w:drawing>
                                          <wp:inline distT="0" distB="0" distL="0" distR="0" wp14:anchorId="30DCE9DD" wp14:editId="2604890C">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5B526E">
                                  <w:trPr>
                                    <w:trHeight w:hRule="exact" w:val="4320"/>
                                  </w:trPr>
                                  <w:tc>
                                    <w:tcPr>
                                      <w:tcW w:w="9350" w:type="dxa"/>
                                      <w:shd w:val="clear" w:color="auto" w:fill="0E2841" w:themeFill="text2"/>
                                      <w:vAlign w:val="center"/>
                                    </w:tcPr>
                                    <w:p w:rsidR="005B526E" w:rsidRDefault="005B526E" w:rsidP="005B526E">
                                      <w:pPr>
                                        <w:pStyle w:val="NoSpacing"/>
                                        <w:spacing w:before="240"/>
                                        <w:ind w:right="720"/>
                                        <w:rPr>
                                          <w:color w:val="FFFFFF" w:themeColor="background1"/>
                                          <w:sz w:val="32"/>
                                          <w:szCs w:val="32"/>
                                        </w:rPr>
                                      </w:pPr>
                                    </w:p>
                                  </w:tc>
                                </w:tr>
                                <w:tr w:rsidR="005B526E">
                                  <w:trPr>
                                    <w:trHeight w:hRule="exact" w:val="720"/>
                                  </w:trPr>
                                  <w:tc>
                                    <w:tcPr>
                                      <w:tcW w:w="9350" w:type="dxa"/>
                                      <w:shd w:val="clear" w:color="auto" w:fill="4EA72E" w:themeFill="accent6"/>
                                    </w:tcPr>
                                    <w:tbl>
                                      <w:tblPr>
                                        <w:tblStyle w:val="GridTable4-Accent1"/>
                                        <w:tblW w:w="5000" w:type="pct"/>
                                        <w:shd w:val="clear" w:color="auto" w:fill="E8E8E8" w:themeFill="background2"/>
                                        <w:tblLook w:val="04A0" w:firstRow="1" w:lastRow="0" w:firstColumn="1" w:lastColumn="0" w:noHBand="0" w:noVBand="1"/>
                                        <w:tblDescription w:val="Cover page info"/>
                                      </w:tblPr>
                                      <w:tblGrid>
                                        <w:gridCol w:w="3596"/>
                                        <w:gridCol w:w="3597"/>
                                        <w:gridCol w:w="3597"/>
                                      </w:tblGrid>
                                      <w:tr w:rsidR="005B526E" w:rsidTr="009E0003">
                                        <w:trPr>
                                          <w:cnfStyle w:val="100000000000" w:firstRow="1" w:lastRow="0" w:firstColumn="0" w:lastColumn="0" w:oddVBand="0" w:evenVBand="0" w:oddHBand="0"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3590" w:type="dxa"/>
                                            <w:shd w:val="clear" w:color="auto" w:fill="E8E8E8" w:themeFill="background2"/>
                                          </w:tcPr>
                                          <w:p w:rsidR="005B526E" w:rsidRDefault="005B526E" w:rsidP="005B526E">
                                            <w:pPr>
                                              <w:pStyle w:val="NoSpacing"/>
                                              <w:ind w:right="144"/>
                                              <w:rPr>
                                                <w:color w:val="FFFFFF" w:themeColor="background1"/>
                                              </w:rPr>
                                            </w:pPr>
                                          </w:p>
                                        </w:tc>
                                        <w:tc>
                                          <w:tcPr>
                                            <w:tcW w:w="3591" w:type="dxa"/>
                                            <w:shd w:val="clear" w:color="auto" w:fill="E8E8E8" w:themeFill="background2"/>
                                          </w:tcPr>
                                          <w:p w:rsidR="005B526E" w:rsidRPr="009E0003" w:rsidRDefault="005B526E" w:rsidP="005B526E">
                                            <w:pPr>
                                              <w:pStyle w:val="NoSpacing"/>
                                              <w:ind w:left="144" w:right="144"/>
                                              <w:jc w:val="center"/>
                                              <w:cnfStyle w:val="100000000000" w:firstRow="1" w:lastRow="0" w:firstColumn="0" w:lastColumn="0" w:oddVBand="0" w:evenVBand="0" w:oddHBand="0" w:evenHBand="0" w:firstRowFirstColumn="0" w:firstRowLastColumn="0" w:lastRowFirstColumn="0" w:lastRowLastColumn="0"/>
                                              <w:rPr>
                                                <w:color w:val="FFFFFF" w:themeColor="background1"/>
                                                <w:sz w:val="42"/>
                                              </w:rPr>
                                            </w:pPr>
                                            <w:r w:rsidRPr="009E0003">
                                              <w:rPr>
                                                <w:color w:val="0F4761" w:themeColor="accent1" w:themeShade="BF"/>
                                                <w:sz w:val="42"/>
                                              </w:rPr>
                                              <w:t>2025</w:t>
                                            </w:r>
                                          </w:p>
                                        </w:tc>
                                        <w:tc>
                                          <w:tcPr>
                                            <w:tcW w:w="3591" w:type="dxa"/>
                                            <w:shd w:val="clear" w:color="auto" w:fill="E8E8E8" w:themeFill="background2"/>
                                          </w:tcPr>
                                          <w:p w:rsidR="005B526E" w:rsidRDefault="005B526E">
                                            <w:pPr>
                                              <w:pStyle w:val="NoSpacing"/>
                                              <w:ind w:left="144" w:right="720"/>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r>
                                    </w:tbl>
                                    <w:p w:rsidR="005B526E" w:rsidRDefault="005B526E"/>
                                  </w:tc>
                                </w:tr>
                              </w:tbl>
                              <w:p w:rsidR="005B526E" w:rsidRDefault="005B52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9DB04E" id="_x0000_t202" coordsize="21600,21600" o:spt="202" path="m,l,21600r21600,l21600,xe">
                    <v:stroke joinstyle="miter"/>
                    <v:path gradientshapeok="t" o:connecttype="rect"/>
                  </v:shapetype>
                  <v:shape id="Text Box 1" o:spid="_x0000_s1026" type="#_x0000_t202" alt="Cover page layout" style="position:absolute;left:0;text-align:left;margin-left:36pt;margin-top:36pt;width:540pt;height:7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5B526E">
                            <w:trPr>
                              <w:trHeight w:hRule="exact" w:val="9360"/>
                            </w:trPr>
                            <w:tc>
                              <w:tcPr>
                                <w:tcW w:w="9350" w:type="dxa"/>
                              </w:tcPr>
                              <w:p w:rsidR="005B526E" w:rsidRDefault="005B526E">
                                <w:r>
                                  <w:rPr>
                                    <w:noProof/>
                                  </w:rPr>
                                  <w:drawing>
                                    <wp:inline distT="0" distB="0" distL="0" distR="0" wp14:anchorId="30DCE9DD" wp14:editId="2604890C">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5B526E">
                            <w:trPr>
                              <w:trHeight w:hRule="exact" w:val="4320"/>
                            </w:trPr>
                            <w:tc>
                              <w:tcPr>
                                <w:tcW w:w="9350" w:type="dxa"/>
                                <w:shd w:val="clear" w:color="auto" w:fill="0E2841" w:themeFill="text2"/>
                                <w:vAlign w:val="center"/>
                              </w:tcPr>
                              <w:p w:rsidR="005B526E" w:rsidRDefault="005B526E" w:rsidP="005B526E">
                                <w:pPr>
                                  <w:pStyle w:val="NoSpacing"/>
                                  <w:spacing w:before="240"/>
                                  <w:ind w:right="720"/>
                                  <w:rPr>
                                    <w:color w:val="FFFFFF" w:themeColor="background1"/>
                                    <w:sz w:val="32"/>
                                    <w:szCs w:val="32"/>
                                  </w:rPr>
                                </w:pPr>
                              </w:p>
                            </w:tc>
                          </w:tr>
                          <w:tr w:rsidR="005B526E">
                            <w:trPr>
                              <w:trHeight w:hRule="exact" w:val="720"/>
                            </w:trPr>
                            <w:tc>
                              <w:tcPr>
                                <w:tcW w:w="9350" w:type="dxa"/>
                                <w:shd w:val="clear" w:color="auto" w:fill="4EA72E" w:themeFill="accent6"/>
                              </w:tcPr>
                              <w:tbl>
                                <w:tblPr>
                                  <w:tblStyle w:val="GridTable4-Accent1"/>
                                  <w:tblW w:w="5000" w:type="pct"/>
                                  <w:shd w:val="clear" w:color="auto" w:fill="E8E8E8" w:themeFill="background2"/>
                                  <w:tblLook w:val="04A0" w:firstRow="1" w:lastRow="0" w:firstColumn="1" w:lastColumn="0" w:noHBand="0" w:noVBand="1"/>
                                  <w:tblDescription w:val="Cover page info"/>
                                </w:tblPr>
                                <w:tblGrid>
                                  <w:gridCol w:w="3596"/>
                                  <w:gridCol w:w="3597"/>
                                  <w:gridCol w:w="3597"/>
                                </w:tblGrid>
                                <w:tr w:rsidR="005B526E" w:rsidTr="009E0003">
                                  <w:trPr>
                                    <w:cnfStyle w:val="100000000000" w:firstRow="1" w:lastRow="0" w:firstColumn="0" w:lastColumn="0" w:oddVBand="0" w:evenVBand="0" w:oddHBand="0"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3590" w:type="dxa"/>
                                      <w:shd w:val="clear" w:color="auto" w:fill="E8E8E8" w:themeFill="background2"/>
                                    </w:tcPr>
                                    <w:p w:rsidR="005B526E" w:rsidRDefault="005B526E" w:rsidP="005B526E">
                                      <w:pPr>
                                        <w:pStyle w:val="NoSpacing"/>
                                        <w:ind w:right="144"/>
                                        <w:rPr>
                                          <w:color w:val="FFFFFF" w:themeColor="background1"/>
                                        </w:rPr>
                                      </w:pPr>
                                    </w:p>
                                  </w:tc>
                                  <w:tc>
                                    <w:tcPr>
                                      <w:tcW w:w="3591" w:type="dxa"/>
                                      <w:shd w:val="clear" w:color="auto" w:fill="E8E8E8" w:themeFill="background2"/>
                                    </w:tcPr>
                                    <w:p w:rsidR="005B526E" w:rsidRPr="009E0003" w:rsidRDefault="005B526E" w:rsidP="005B526E">
                                      <w:pPr>
                                        <w:pStyle w:val="NoSpacing"/>
                                        <w:ind w:left="144" w:right="144"/>
                                        <w:jc w:val="center"/>
                                        <w:cnfStyle w:val="100000000000" w:firstRow="1" w:lastRow="0" w:firstColumn="0" w:lastColumn="0" w:oddVBand="0" w:evenVBand="0" w:oddHBand="0" w:evenHBand="0" w:firstRowFirstColumn="0" w:firstRowLastColumn="0" w:lastRowFirstColumn="0" w:lastRowLastColumn="0"/>
                                        <w:rPr>
                                          <w:color w:val="FFFFFF" w:themeColor="background1"/>
                                          <w:sz w:val="42"/>
                                        </w:rPr>
                                      </w:pPr>
                                      <w:r w:rsidRPr="009E0003">
                                        <w:rPr>
                                          <w:color w:val="0F4761" w:themeColor="accent1" w:themeShade="BF"/>
                                          <w:sz w:val="42"/>
                                        </w:rPr>
                                        <w:t>2025</w:t>
                                      </w:r>
                                    </w:p>
                                  </w:tc>
                                  <w:tc>
                                    <w:tcPr>
                                      <w:tcW w:w="3591" w:type="dxa"/>
                                      <w:shd w:val="clear" w:color="auto" w:fill="E8E8E8" w:themeFill="background2"/>
                                    </w:tcPr>
                                    <w:p w:rsidR="005B526E" w:rsidRDefault="005B526E">
                                      <w:pPr>
                                        <w:pStyle w:val="NoSpacing"/>
                                        <w:ind w:left="144" w:right="720"/>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r>
                              </w:tbl>
                              <w:p w:rsidR="005B526E" w:rsidRDefault="005B526E"/>
                            </w:tc>
                          </w:tr>
                        </w:tbl>
                        <w:p w:rsidR="005B526E" w:rsidRDefault="005B526E"/>
                      </w:txbxContent>
                    </v:textbox>
                    <w10:wrap anchorx="page" anchory="page"/>
                  </v:shape>
                </w:pict>
              </mc:Fallback>
            </mc:AlternateContent>
          </w:r>
        </w:p>
        <w:p w:rsidR="006E4FD7" w:rsidRDefault="00F17371" w:rsidP="006E4FD7">
          <w:pPr>
            <w:rPr>
              <w:sz w:val="52"/>
              <w:szCs w:val="52"/>
              <w:lang w:val="it-IT"/>
            </w:rPr>
          </w:pPr>
          <w:r>
            <w:rPr>
              <w:noProof/>
              <w:sz w:val="52"/>
              <w:szCs w:val="52"/>
            </w:rPr>
            <mc:AlternateContent>
              <mc:Choice Requires="wps">
                <w:drawing>
                  <wp:anchor distT="0" distB="0" distL="114300" distR="114300" simplePos="0" relativeHeight="251660288" behindDoc="0" locked="0" layoutInCell="1" allowOverlap="1" wp14:anchorId="18C25A3A" wp14:editId="412803ED">
                    <wp:simplePos x="0" y="0"/>
                    <wp:positionH relativeFrom="column">
                      <wp:posOffset>165100</wp:posOffset>
                    </wp:positionH>
                    <wp:positionV relativeFrom="paragraph">
                      <wp:posOffset>6721475</wp:posOffset>
                    </wp:positionV>
                    <wp:extent cx="3283889" cy="421419"/>
                    <wp:effectExtent l="0" t="0" r="0" b="0"/>
                    <wp:wrapThrough wrapText="bothSides">
                      <wp:wrapPolygon edited="0">
                        <wp:start x="251" y="0"/>
                        <wp:lineTo x="251" y="20525"/>
                        <wp:lineTo x="21178" y="20525"/>
                        <wp:lineTo x="21178" y="0"/>
                        <wp:lineTo x="251" y="0"/>
                      </wp:wrapPolygon>
                    </wp:wrapThrough>
                    <wp:docPr id="2" name="Text Box 2"/>
                    <wp:cNvGraphicFramePr/>
                    <a:graphic xmlns:a="http://schemas.openxmlformats.org/drawingml/2006/main">
                      <a:graphicData uri="http://schemas.microsoft.com/office/word/2010/wordprocessingShape">
                        <wps:wsp>
                          <wps:cNvSpPr txBox="1"/>
                          <wps:spPr>
                            <a:xfrm>
                              <a:off x="0" y="0"/>
                              <a:ext cx="3283889" cy="421419"/>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5B526E" w:rsidRPr="005B526E" w:rsidRDefault="005B526E" w:rsidP="005B526E">
                                <w:pPr>
                                  <w:pStyle w:val="bashkiaNameStyle"/>
                                </w:pPr>
                                <w:r w:rsidRPr="005B526E">
                                  <w:t xml:space="preserve">Bashkia  </w:t>
                                </w:r>
                                <w:bookmarkStart w:id="0" w:name="bashkia_name"/>
                                <w:bookmarkEnd w:id="0"/>
                                <w:r>
                                  <w:t>Memaliaj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C25A3A" id="Text Box 2" o:spid="_x0000_s1027" type="#_x0000_t202" style="position:absolute;left:0;text-align:left;margin-left:13pt;margin-top:529.25pt;width:258.55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" filled="f" stroked="f">
                    <v:textbox>
                      <w:txbxContent>
                        <w:p w:rsidR="005B526E" w:rsidRPr="005B526E" w:rsidRDefault="005B526E" w:rsidP="005B526E">
                          <w:pPr>
                            <w:pStyle w:val="bashkiaNameStyle"/>
                          </w:pPr>
                          <w:r w:rsidRPr="005B526E">
                            <w:t xml:space="preserve">Bashkia  </w:t>
                          </w:r>
                          <w:bookmarkStart w:id="1" w:name="bashkia_name"/>
                          <w:bookmarkEnd w:id="1"/>
                          <w:r>
                            <w:t>Memaliaj</w:t>
                          </w:r>
                        </w:p>
                      </w:txbxContent>
                    </v:textbox>
                    <w10:wrap type="through"/>
                  </v:shape>
                </w:pict>
              </mc:Fallback>
            </mc:AlternateContent>
          </w:r>
          <w:r w:rsidR="000708F2">
            <w:rPr>
              <w:noProof/>
              <w:sz w:val="52"/>
              <w:szCs w:val="52"/>
            </w:rPr>
            <mc:AlternateContent>
              <mc:Choice Requires="wps">
                <w:drawing>
                  <wp:anchor distT="0" distB="0" distL="114300" distR="114300" simplePos="0" relativeHeight="251673600" behindDoc="0" locked="0" layoutInCell="1" allowOverlap="1" wp14:anchorId="71F9BDE6" wp14:editId="6CD7876E">
                    <wp:simplePos x="0" y="0"/>
                    <wp:positionH relativeFrom="column">
                      <wp:posOffset>-16980</wp:posOffset>
                    </wp:positionH>
                    <wp:positionV relativeFrom="paragraph">
                      <wp:posOffset>5729439</wp:posOffset>
                    </wp:positionV>
                    <wp:extent cx="5629275" cy="755015"/>
                    <wp:effectExtent l="0" t="0" r="0" b="6985"/>
                    <wp:wrapThrough wrapText="bothSides">
                      <wp:wrapPolygon edited="0">
                        <wp:start x="146" y="0"/>
                        <wp:lineTo x="146" y="21255"/>
                        <wp:lineTo x="21344" y="21255"/>
                        <wp:lineTo x="21344" y="0"/>
                        <wp:lineTo x="146" y="0"/>
                      </wp:wrapPolygon>
                    </wp:wrapThrough>
                    <wp:docPr id="3" name="Text Box 3"/>
                    <wp:cNvGraphicFramePr/>
                    <a:graphic xmlns:a="http://schemas.openxmlformats.org/drawingml/2006/main">
                      <a:graphicData uri="http://schemas.microsoft.com/office/word/2010/wordprocessingShape">
                        <wps:wsp>
                          <wps:cNvSpPr txBox="1"/>
                          <wps:spPr>
                            <a:xfrm>
                              <a:off x="0" y="0"/>
                              <a:ext cx="5629275" cy="75501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0708F2" w:rsidRPr="005B526E" w:rsidRDefault="000708F2" w:rsidP="000708F2">
                                <w:pPr>
                                  <w:pStyle w:val="NoSpacing"/>
                                  <w:spacing w:before="200" w:line="216" w:lineRule="auto"/>
                                  <w:ind w:right="720"/>
                                  <w:rPr>
                                    <w:rFonts w:asciiTheme="majorHAnsi" w:hAnsiTheme="majorHAnsi"/>
                                    <w:color w:val="FFFFFF" w:themeColor="background1"/>
                                    <w:sz w:val="72"/>
                                    <w:szCs w:val="96"/>
                                  </w:rPr>
                                </w:pPr>
                                <w:r>
                                  <w:rPr>
                                    <w:rFonts w:asciiTheme="majorHAnsi" w:hAnsiTheme="majorHAnsi"/>
                                    <w:color w:val="FFFFFF" w:themeColor="background1"/>
                                    <w:sz w:val="72"/>
                                    <w:szCs w:val="96"/>
                                  </w:rPr>
                                  <w:t>Raporti i Performancës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F9BDE6" id="Text Box 3" o:spid="_x0000_s1028" type="#_x0000_t202" style="position:absolute;left:0;text-align:left;margin-left:-1.35pt;margin-top:451.15pt;width:443.25pt;height:5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" filled="f" stroked="f">
                    <v:textbox>
                      <w:txbxContent>
                        <w:p w:rsidR="000708F2" w:rsidRPr="005B526E" w:rsidRDefault="000708F2" w:rsidP="000708F2">
                          <w:pPr>
                            <w:pStyle w:val="NoSpacing"/>
                            <w:spacing w:before="200" w:line="216" w:lineRule="auto"/>
                            <w:ind w:right="720"/>
                            <w:rPr>
                              <w:rFonts w:asciiTheme="majorHAnsi" w:hAnsiTheme="majorHAnsi"/>
                              <w:color w:val="FFFFFF" w:themeColor="background1"/>
                              <w:sz w:val="72"/>
                              <w:szCs w:val="96"/>
                            </w:rPr>
                          </w:pPr>
                          <w:r>
                            <w:rPr>
                              <w:rFonts w:asciiTheme="majorHAnsi" w:hAnsiTheme="majorHAnsi"/>
                              <w:color w:val="FFFFFF" w:themeColor="background1"/>
                              <w:sz w:val="72"/>
                              <w:szCs w:val="96"/>
                            </w:rPr>
                            <w:t>Raporti i Performancës</w:t>
                          </w:r>
                        </w:p>
                      </w:txbxContent>
                    </v:textbox>
                    <w10:wrap type="through"/>
                  </v:shape>
                </w:pict>
              </mc:Fallback>
            </mc:AlternateContent>
          </w:r>
          <w:r w:rsidR="005B526E">
            <w:rPr>
              <w:sz w:val="52"/>
              <w:szCs w:val="52"/>
              <w:lang w:val="it-IT"/>
            </w:rPr>
            <w:br w:type="page"/>
          </w:r>
        </w:p>
      </w:sdtContent>
    </w:sdt>
    <w:p w:rsidR="006E4FD7" w:rsidRPr="006E4FD7" w:rsidRDefault="006E4FD7" w:rsidP="006E4FD7">
      <w:pPr>
        <w:rPr>
          <w:sz w:val="52"/>
          <w:szCs w:val="52"/>
          <w:lang w:val="it-IT"/>
        </w:rPr>
      </w:pPr>
      <w:r w:rsidRPr="006B40F3">
        <w:rPr>
          <w:b/>
          <w:bCs/>
        </w:rPr>
        <w:lastRenderedPageBreak/>
        <w:t>Ky botim u mbështet nga ‘Bashki të Forta’, projekt i Agjencisë Zvicerane për Zhvillim dhe Bashkëpunim SDC dhe Qeverisë së Suedisë, i zbatuar nga Helvetas. Pikëpamjet e shprehura në këtë botim nuk pasqyrojnë domosdoshmërisht qëndrimet e Qeverisë së Zvicrës apo të Suedisë.</w:t>
      </w:r>
    </w:p>
    <w:p w:rsidR="006E4FD7" w:rsidRDefault="006E4FD7" w:rsidP="006E4FD7"/>
    <w:p w:rsidR="006E4FD7" w:rsidRDefault="006E4FD7" w:rsidP="006E4FD7">
      <w:r w:rsidRPr="00DC5A15">
        <w:rPr>
          <w:rFonts w:cstheme="minorHAnsi"/>
          <w:noProof/>
        </w:rPr>
        <w:drawing>
          <wp:anchor distT="0" distB="0" distL="114300" distR="114300" simplePos="0" relativeHeight="251700224" behindDoc="1" locked="0" layoutInCell="1" allowOverlap="1" wp14:anchorId="35A141A6" wp14:editId="06604CF5">
            <wp:simplePos x="0" y="0"/>
            <wp:positionH relativeFrom="margin">
              <wp:align>center</wp:align>
            </wp:positionH>
            <wp:positionV relativeFrom="paragraph">
              <wp:posOffset>1813016</wp:posOffset>
            </wp:positionV>
            <wp:extent cx="2154860" cy="560614"/>
            <wp:effectExtent l="0" t="0" r="0" b="0"/>
            <wp:wrapNone/>
            <wp:docPr id="1765346899"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46899" name="Picture 2" descr="A red text on a white background&#10;&#10;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154860" cy="560614"/>
                    </a:xfrm>
                    <a:prstGeom prst="rect">
                      <a:avLst/>
                    </a:prstGeom>
                  </pic:spPr>
                </pic:pic>
              </a:graphicData>
            </a:graphic>
            <wp14:sizeRelH relativeFrom="margin">
              <wp14:pctWidth>0</wp14:pctWidth>
            </wp14:sizeRelH>
            <wp14:sizeRelV relativeFrom="margin">
              <wp14:pctHeight>0</wp14:pctHeight>
            </wp14:sizeRelV>
          </wp:anchor>
        </w:drawing>
      </w:r>
      <w:r w:rsidRPr="00DC5A15">
        <w:rPr>
          <w:rFonts w:cstheme="minorHAnsi"/>
          <w:noProof/>
        </w:rPr>
        <w:drawing>
          <wp:anchor distT="0" distB="0" distL="114300" distR="114300" simplePos="0" relativeHeight="251701248" behindDoc="0" locked="0" layoutInCell="1" allowOverlap="1" wp14:anchorId="377509B4" wp14:editId="200208CC">
            <wp:simplePos x="0" y="0"/>
            <wp:positionH relativeFrom="column">
              <wp:posOffset>4083686</wp:posOffset>
            </wp:positionH>
            <wp:positionV relativeFrom="paragraph">
              <wp:posOffset>218803</wp:posOffset>
            </wp:positionV>
            <wp:extent cx="1752600" cy="466777"/>
            <wp:effectExtent l="0" t="0" r="0" b="9525"/>
            <wp:wrapNone/>
            <wp:docPr id="915931019" name="Picture 5" descr="A 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1019" name="Picture 5" descr="A blue and yellow text on a black background&#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784650" cy="475313"/>
                    </a:xfrm>
                    <a:prstGeom prst="rect">
                      <a:avLst/>
                    </a:prstGeom>
                  </pic:spPr>
                </pic:pic>
              </a:graphicData>
            </a:graphic>
            <wp14:sizeRelH relativeFrom="margin">
              <wp14:pctWidth>0</wp14:pctWidth>
            </wp14:sizeRelH>
            <wp14:sizeRelV relativeFrom="margin">
              <wp14:pctHeight>0</wp14:pctHeight>
            </wp14:sizeRelV>
          </wp:anchor>
        </w:drawing>
      </w:r>
      <w:r w:rsidRPr="00DC5A15">
        <w:rPr>
          <w:rFonts w:cstheme="minorHAnsi"/>
          <w:noProof/>
        </w:rPr>
        <w:drawing>
          <wp:anchor distT="0" distB="0" distL="114300" distR="114300" simplePos="0" relativeHeight="251702272" behindDoc="1" locked="0" layoutInCell="1" allowOverlap="1" wp14:anchorId="09183BC0" wp14:editId="01B8ECBA">
            <wp:simplePos x="0" y="0"/>
            <wp:positionH relativeFrom="column">
              <wp:posOffset>420189</wp:posOffset>
            </wp:positionH>
            <wp:positionV relativeFrom="paragraph">
              <wp:posOffset>113575</wp:posOffset>
            </wp:positionV>
            <wp:extent cx="2200532" cy="1012371"/>
            <wp:effectExtent l="0" t="0" r="0" b="0"/>
            <wp:wrapNone/>
            <wp:docPr id="41842860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8602" name="Picture 1" descr="A close-up of a white background&#10;&#10;Description automatically generated"/>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00532" cy="1012371"/>
                    </a:xfrm>
                    <a:prstGeom prst="rect">
                      <a:avLst/>
                    </a:prstGeom>
                  </pic:spPr>
                </pic:pic>
              </a:graphicData>
            </a:graphic>
            <wp14:sizeRelH relativeFrom="margin">
              <wp14:pctWidth>0</wp14:pctWidth>
            </wp14:sizeRelH>
            <wp14:sizeRelV relativeFrom="margin">
              <wp14:pctHeight>0</wp14:pctHeight>
            </wp14:sizeRelV>
          </wp:anchor>
        </w:drawing>
      </w:r>
    </w:p>
    <w:p w:rsidR="009E0003" w:rsidRDefault="009E0003" w:rsidP="009E0003">
      <w:pPr>
        <w:pStyle w:val="BodyText"/>
        <w:spacing w:before="1" w:line="252" w:lineRule="auto"/>
        <w:ind w:right="142"/>
        <w:jc w:val="center"/>
        <w:rPr>
          <w:rFonts w:ascii="Verdana" w:hAnsi="Verdana"/>
          <w:spacing w:val="-8"/>
        </w:rPr>
      </w:pPr>
    </w:p>
    <w:p w:rsidR="009E0003" w:rsidRDefault="009E0003" w:rsidP="009E0003">
      <w:pPr>
        <w:pStyle w:val="BodyText"/>
        <w:spacing w:before="1" w:line="252" w:lineRule="auto"/>
        <w:ind w:right="142"/>
        <w:jc w:val="center"/>
        <w:rPr>
          <w:rFonts w:ascii="Verdana" w:hAnsi="Verdana"/>
          <w:spacing w:val="-8"/>
        </w:rPr>
      </w:pPr>
    </w:p>
    <w:p w:rsidR="009E0003" w:rsidRDefault="009E0003" w:rsidP="009E0003">
      <w:pPr>
        <w:pStyle w:val="BodyText"/>
        <w:spacing w:before="1" w:line="252" w:lineRule="auto"/>
        <w:ind w:right="142"/>
        <w:jc w:val="center"/>
        <w:rPr>
          <w:rFonts w:ascii="Verdana" w:hAnsi="Verdana"/>
          <w:spacing w:val="-8"/>
        </w:rPr>
      </w:pPr>
    </w:p>
    <w:p w:rsidR="0085741A" w:rsidRDefault="0085741A" w:rsidP="0085741A">
      <w:pPr>
        <w:pStyle w:val="BodyText"/>
      </w:pPr>
    </w:p>
    <w:p w:rsidR="0085741A" w:rsidRDefault="0085741A" w:rsidP="0085741A">
      <w:pPr>
        <w:pStyle w:val="BodyText"/>
      </w:pPr>
    </w:p>
    <w:p w:rsidR="0085741A" w:rsidRDefault="0085741A" w:rsidP="006B5480">
      <w:pPr>
        <w:pStyle w:val="BodyText"/>
        <w:jc w:val="center"/>
      </w:pPr>
    </w:p>
    <w:p w:rsidR="0085741A" w:rsidRDefault="0085741A" w:rsidP="006B5480">
      <w:pPr>
        <w:pStyle w:val="BodyText"/>
        <w:jc w:val="center"/>
      </w:pPr>
    </w:p>
    <w:p w:rsidR="0085741A" w:rsidRDefault="0085741A" w:rsidP="006B5480">
      <w:pPr>
        <w:pStyle w:val="BodyText"/>
        <w:jc w:val="center"/>
      </w:pPr>
    </w:p>
    <w:p w:rsidR="0085741A" w:rsidRDefault="0085741A" w:rsidP="006B5480">
      <w:pPr>
        <w:pStyle w:val="BodyText"/>
        <w:jc w:val="center"/>
      </w:pPr>
    </w:p>
    <w:p w:rsidR="006B5480" w:rsidRDefault="006B5480" w:rsidP="006B5480">
      <w:pPr>
        <w:pStyle w:val="BodyText"/>
        <w:jc w:val="center"/>
      </w:pPr>
    </w:p>
    <w:p w:rsidR="0085741A" w:rsidRDefault="0085741A" w:rsidP="006B5480">
      <w:pPr>
        <w:pStyle w:val="BodyText"/>
        <w:jc w:val="center"/>
      </w:pPr>
    </w:p>
    <w:p w:rsidR="0085741A" w:rsidRDefault="0085741A" w:rsidP="006B5480">
      <w:pPr>
        <w:pStyle w:val="BodyText"/>
        <w:jc w:val="center"/>
      </w:pPr>
    </w:p>
    <w:p w:rsidR="006B5480" w:rsidRDefault="006B5480">
      <w:bookmarkStart w:id="1" w:name="Page_2"/>
      <w:bookmarkEnd w:id="1"/>
    </w:p>
    <w:p w:rsidR="006B5480" w:rsidRDefault="006B5480"/>
    <w:p w:rsidR="006B5480" w:rsidRDefault="006B5480"/>
    <w:p w:rsidR="006B5480" w:rsidRDefault="006B5480"/>
    <w:p w:rsidR="006E4FD7" w:rsidRDefault="006E4FD7">
      <w:pPr>
        <w:sectPr w:rsidR="006E4FD7" w:rsidSect="00FC041B">
          <w:headerReference w:type="default" r:id="rId13"/>
          <w:footerReference w:type="default" r:id="rId14"/>
          <w:pgSz w:w="12240" w:h="15840"/>
          <w:pgMar w:top="1440" w:right="1440" w:bottom="1440" w:left="1440" w:header="720" w:footer="720" w:gutter="0"/>
          <w:cols w:space="720"/>
          <w:titlePg/>
          <w:docGrid w:linePitch="360"/>
        </w:sectPr>
      </w:pPr>
      <w:bookmarkStart w:id="2" w:name="_GoBack"/>
      <w:bookmarkEnd w:id="2"/>
    </w:p>
    <w:p w:rsidR="006B5480" w:rsidRDefault="006B5480"/>
    <w:sdt>
      <w:sdtPr>
        <w:rPr>
          <w:rFonts w:asciiTheme="minorHAnsi" w:eastAsiaTheme="minorHAnsi" w:hAnsiTheme="minorHAnsi" w:cstheme="minorBidi"/>
          <w:color w:val="auto"/>
          <w:kern w:val="2"/>
          <w:sz w:val="24"/>
          <w:szCs w:val="24"/>
          <w14:ligatures w14:val="standardContextual"/>
        </w:rPr>
        <w:id w:val="-564100887"/>
        <w:docPartObj>
          <w:docPartGallery w:val="Table of Contents"/>
          <w:docPartUnique/>
        </w:docPartObj>
      </w:sdtPr>
      <w:sdtEndPr>
        <w:rPr>
          <w:rFonts w:ascii="Times New Roman" w:hAnsi="Times New Roman"/>
          <w:b/>
          <w:bCs/>
          <w:noProof/>
        </w:rPr>
      </w:sdtEndPr>
      <w:sdtContent>
        <w:p w:rsidR="009E0003" w:rsidRDefault="009E0003">
          <w:pPr>
            <w:pStyle w:val="TOCHeading"/>
          </w:pPr>
          <w:r>
            <w:t>Tabela e përmbajtjes</w:t>
          </w:r>
        </w:p>
        <w:p w:rsidR="00FC041B" w:rsidRDefault="009E0003">
          <w:pPr>
            <w:pStyle w:val="TOC1"/>
            <w:tabs>
              <w:tab w:val="right" w:leader="dot" w:pos="9350"/>
            </w:tabs>
            <w:rPr>
              <w:rFonts w:asciiTheme="minorHAnsi" w:hAnsiTheme="minorHAnsi" w:cstheme="minorBidi"/>
              <w:noProof/>
            </w:rPr>
          </w:pPr>
          <w:r>
            <w:fldChar w:fldCharType="begin"/>
          </w:r>
          <w:r>
            <w:instrText xml:space="preserve"> TOC \o "1-3" \h \z \u </w:instrText>
          </w:r>
          <w:r>
            <w:fldChar w:fldCharType="separate"/>
          </w:r>
          <w:hyperlink w:anchor="_Toc213857405" w:history="1">
            <w:r w:rsidR="00FC041B" w:rsidRPr="00330B99">
              <w:rPr>
                <w:rStyle w:val="Hyperlink"/>
                <w:noProof/>
              </w:rPr>
              <w:t>Hyrje</w:t>
            </w:r>
            <w:r w:rsidR="00FC041B">
              <w:rPr>
                <w:noProof/>
                <w:webHidden/>
              </w:rPr>
              <w:tab/>
            </w:r>
            <w:r w:rsidR="00FC041B">
              <w:rPr>
                <w:noProof/>
                <w:webHidden/>
              </w:rPr>
              <w:fldChar w:fldCharType="begin"/>
            </w:r>
            <w:r w:rsidR="00FC041B">
              <w:rPr>
                <w:noProof/>
                <w:webHidden/>
              </w:rPr>
              <w:instrText xml:space="preserve"> PAGEREF _Toc213857405 \h </w:instrText>
            </w:r>
            <w:r w:rsidR="00FC041B">
              <w:rPr>
                <w:noProof/>
                <w:webHidden/>
              </w:rPr>
            </w:r>
            <w:r w:rsidR="00FC041B">
              <w:rPr>
                <w:noProof/>
                <w:webHidden/>
              </w:rPr>
              <w:fldChar w:fldCharType="separate"/>
            </w:r>
            <w:r w:rsidR="00FC041B">
              <w:rPr>
                <w:noProof/>
                <w:webHidden/>
              </w:rPr>
              <w:t>4</w:t>
            </w:r>
            <w:r w:rsidR="00FC041B">
              <w:rPr>
                <w:noProof/>
                <w:webHidden/>
              </w:rPr>
              <w:fldChar w:fldCharType="end"/>
            </w:r>
          </w:hyperlink>
        </w:p>
        <w:p w:rsidR="00FC041B" w:rsidRDefault="00ED2D5A">
          <w:pPr>
            <w:pStyle w:val="TOC1"/>
            <w:tabs>
              <w:tab w:val="right" w:leader="dot" w:pos="9350"/>
            </w:tabs>
            <w:rPr>
              <w:rFonts w:asciiTheme="minorHAnsi" w:hAnsiTheme="minorHAnsi" w:cstheme="minorBidi"/>
              <w:noProof/>
            </w:rPr>
          </w:pPr>
          <w:hyperlink w:anchor="_Toc213857406" w:history="1">
            <w:r w:rsidR="00FC041B" w:rsidRPr="00330B99">
              <w:rPr>
                <w:rStyle w:val="Hyperlink"/>
                <w:noProof/>
              </w:rPr>
              <w:t>Vështrim i Përgjithshëm mbi Bashkinë</w:t>
            </w:r>
            <w:r w:rsidR="00FC041B">
              <w:rPr>
                <w:noProof/>
                <w:webHidden/>
              </w:rPr>
              <w:tab/>
            </w:r>
            <w:r w:rsidR="00FC041B">
              <w:rPr>
                <w:noProof/>
                <w:webHidden/>
              </w:rPr>
              <w:fldChar w:fldCharType="begin"/>
            </w:r>
            <w:r w:rsidR="00FC041B">
              <w:rPr>
                <w:noProof/>
                <w:webHidden/>
              </w:rPr>
              <w:instrText xml:space="preserve"> PAGEREF _Toc213857406 \h </w:instrText>
            </w:r>
            <w:r w:rsidR="00FC041B">
              <w:rPr>
                <w:noProof/>
                <w:webHidden/>
              </w:rPr>
            </w:r>
            <w:r w:rsidR="00FC041B">
              <w:rPr>
                <w:noProof/>
                <w:webHidden/>
              </w:rPr>
              <w:fldChar w:fldCharType="separate"/>
            </w:r>
            <w:r w:rsidR="00FC041B">
              <w:rPr>
                <w:noProof/>
                <w:webHidden/>
              </w:rPr>
              <w:t>5</w:t>
            </w:r>
            <w:r w:rsidR="00FC041B">
              <w:rPr>
                <w:noProof/>
                <w:webHidden/>
              </w:rPr>
              <w:fldChar w:fldCharType="end"/>
            </w:r>
          </w:hyperlink>
        </w:p>
        <w:p w:rsidR="00FC041B" w:rsidRDefault="00ED2D5A">
          <w:pPr>
            <w:pStyle w:val="TOC1"/>
            <w:tabs>
              <w:tab w:val="right" w:leader="dot" w:pos="9350"/>
            </w:tabs>
            <w:rPr>
              <w:rFonts w:asciiTheme="minorHAnsi" w:hAnsiTheme="minorHAnsi" w:cstheme="minorBidi"/>
              <w:noProof/>
            </w:rPr>
          </w:pPr>
          <w:hyperlink w:anchor="_Toc213857407" w:history="1">
            <w:r w:rsidR="00FC041B" w:rsidRPr="00330B99">
              <w:rPr>
                <w:rStyle w:val="Hyperlink"/>
                <w:noProof/>
              </w:rPr>
              <w:t>Të Dhënat e Përgjithshme të Bashkisë</w:t>
            </w:r>
            <w:r w:rsidR="00FC041B">
              <w:rPr>
                <w:noProof/>
                <w:webHidden/>
              </w:rPr>
              <w:tab/>
            </w:r>
            <w:r w:rsidR="00FC041B">
              <w:rPr>
                <w:noProof/>
                <w:webHidden/>
              </w:rPr>
              <w:fldChar w:fldCharType="begin"/>
            </w:r>
            <w:r w:rsidR="00FC041B">
              <w:rPr>
                <w:noProof/>
                <w:webHidden/>
              </w:rPr>
              <w:instrText xml:space="preserve"> PAGEREF _Toc213857407 \h </w:instrText>
            </w:r>
            <w:r w:rsidR="00FC041B">
              <w:rPr>
                <w:noProof/>
                <w:webHidden/>
              </w:rPr>
            </w:r>
            <w:r w:rsidR="00FC041B">
              <w:rPr>
                <w:noProof/>
                <w:webHidden/>
              </w:rPr>
              <w:fldChar w:fldCharType="separate"/>
            </w:r>
            <w:r w:rsidR="00FC041B">
              <w:rPr>
                <w:noProof/>
                <w:webHidden/>
              </w:rPr>
              <w:t>7</w:t>
            </w:r>
            <w:r w:rsidR="00FC041B">
              <w:rPr>
                <w:noProof/>
                <w:webHidden/>
              </w:rPr>
              <w:fldChar w:fldCharType="end"/>
            </w:r>
          </w:hyperlink>
        </w:p>
        <w:p w:rsidR="00FC041B" w:rsidRDefault="00ED2D5A">
          <w:pPr>
            <w:pStyle w:val="TOC1"/>
            <w:tabs>
              <w:tab w:val="right" w:leader="dot" w:pos="9350"/>
            </w:tabs>
            <w:rPr>
              <w:rFonts w:asciiTheme="minorHAnsi" w:hAnsiTheme="minorHAnsi" w:cstheme="minorBidi"/>
              <w:noProof/>
            </w:rPr>
          </w:pPr>
          <w:hyperlink w:anchor="_Toc213857408" w:history="1">
            <w:r w:rsidR="00FC041B" w:rsidRPr="00330B99">
              <w:rPr>
                <w:rStyle w:val="Hyperlink"/>
                <w:b/>
                <w:noProof/>
              </w:rPr>
              <w:t>Kategoria</w:t>
            </w:r>
            <w:r w:rsidR="00FC041B" w:rsidRPr="00330B99">
              <w:rPr>
                <w:rStyle w:val="Hyperlink"/>
                <w:noProof/>
              </w:rPr>
              <w:t>: Shërbimet</w:t>
            </w:r>
            <w:r w:rsidR="00FC041B">
              <w:rPr>
                <w:noProof/>
                <w:webHidden/>
              </w:rPr>
              <w:tab/>
            </w:r>
            <w:r w:rsidR="00FC041B">
              <w:rPr>
                <w:noProof/>
                <w:webHidden/>
              </w:rPr>
              <w:fldChar w:fldCharType="begin"/>
            </w:r>
            <w:r w:rsidR="00FC041B">
              <w:rPr>
                <w:noProof/>
                <w:webHidden/>
              </w:rPr>
              <w:instrText xml:space="preserve"> PAGEREF _Toc213857408 \h </w:instrText>
            </w:r>
            <w:r w:rsidR="00FC041B">
              <w:rPr>
                <w:noProof/>
                <w:webHidden/>
              </w:rPr>
            </w:r>
            <w:r w:rsidR="00FC041B">
              <w:rPr>
                <w:noProof/>
                <w:webHidden/>
              </w:rPr>
              <w:fldChar w:fldCharType="separate"/>
            </w:r>
            <w:r w:rsidR="00FC041B">
              <w:rPr>
                <w:noProof/>
                <w:webHidden/>
              </w:rPr>
              <w:t>8</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09" w:history="1">
            <w:r w:rsidR="00FC041B" w:rsidRPr="00330B99">
              <w:rPr>
                <w:rStyle w:val="Hyperlink"/>
                <w:noProof/>
              </w:rPr>
              <w:t>Arsimi bazë përfshirë arsimin parashkollor</w:t>
            </w:r>
            <w:r w:rsidR="00FC041B">
              <w:rPr>
                <w:noProof/>
                <w:webHidden/>
              </w:rPr>
              <w:tab/>
            </w:r>
            <w:r w:rsidR="00FC041B">
              <w:rPr>
                <w:noProof/>
                <w:webHidden/>
              </w:rPr>
              <w:fldChar w:fldCharType="begin"/>
            </w:r>
            <w:r w:rsidR="00FC041B">
              <w:rPr>
                <w:noProof/>
                <w:webHidden/>
              </w:rPr>
              <w:instrText xml:space="preserve"> PAGEREF _Toc213857409 \h </w:instrText>
            </w:r>
            <w:r w:rsidR="00FC041B">
              <w:rPr>
                <w:noProof/>
                <w:webHidden/>
              </w:rPr>
            </w:r>
            <w:r w:rsidR="00FC041B">
              <w:rPr>
                <w:noProof/>
                <w:webHidden/>
              </w:rPr>
              <w:fldChar w:fldCharType="separate"/>
            </w:r>
            <w:r w:rsidR="00FC041B">
              <w:rPr>
                <w:noProof/>
                <w:webHidden/>
              </w:rPr>
              <w:t>9</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0" w:history="1">
            <w:r w:rsidR="00FC041B" w:rsidRPr="00330B99">
              <w:rPr>
                <w:rStyle w:val="Hyperlink"/>
                <w:noProof/>
              </w:rPr>
              <w:t>Arsimi i mesëm i përgjithshëm</w:t>
            </w:r>
            <w:r w:rsidR="00FC041B">
              <w:rPr>
                <w:noProof/>
                <w:webHidden/>
              </w:rPr>
              <w:tab/>
            </w:r>
            <w:r w:rsidR="00FC041B">
              <w:rPr>
                <w:noProof/>
                <w:webHidden/>
              </w:rPr>
              <w:fldChar w:fldCharType="begin"/>
            </w:r>
            <w:r w:rsidR="00FC041B">
              <w:rPr>
                <w:noProof/>
                <w:webHidden/>
              </w:rPr>
              <w:instrText xml:space="preserve"> PAGEREF _Toc213857410 \h </w:instrText>
            </w:r>
            <w:r w:rsidR="00FC041B">
              <w:rPr>
                <w:noProof/>
                <w:webHidden/>
              </w:rPr>
            </w:r>
            <w:r w:rsidR="00FC041B">
              <w:rPr>
                <w:noProof/>
                <w:webHidden/>
              </w:rPr>
              <w:fldChar w:fldCharType="separate"/>
            </w:r>
            <w:r w:rsidR="00FC041B">
              <w:rPr>
                <w:noProof/>
                <w:webHidden/>
              </w:rPr>
              <w:t>17</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1" w:history="1">
            <w:r w:rsidR="00FC041B" w:rsidRPr="00330B99">
              <w:rPr>
                <w:rStyle w:val="Hyperlink"/>
                <w:noProof/>
              </w:rPr>
              <w:t>Menaxhimi i infrastrukturës së ujitjes dhe kullimit</w:t>
            </w:r>
            <w:r w:rsidR="00FC041B">
              <w:rPr>
                <w:noProof/>
                <w:webHidden/>
              </w:rPr>
              <w:tab/>
            </w:r>
            <w:r w:rsidR="00FC041B">
              <w:rPr>
                <w:noProof/>
                <w:webHidden/>
              </w:rPr>
              <w:fldChar w:fldCharType="begin"/>
            </w:r>
            <w:r w:rsidR="00FC041B">
              <w:rPr>
                <w:noProof/>
                <w:webHidden/>
              </w:rPr>
              <w:instrText xml:space="preserve"> PAGEREF _Toc213857411 \h </w:instrText>
            </w:r>
            <w:r w:rsidR="00FC041B">
              <w:rPr>
                <w:noProof/>
                <w:webHidden/>
              </w:rPr>
            </w:r>
            <w:r w:rsidR="00FC041B">
              <w:rPr>
                <w:noProof/>
                <w:webHidden/>
              </w:rPr>
              <w:fldChar w:fldCharType="separate"/>
            </w:r>
            <w:r w:rsidR="00FC041B">
              <w:rPr>
                <w:noProof/>
                <w:webHidden/>
              </w:rPr>
              <w:t>24</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2" w:history="1">
            <w:r w:rsidR="00FC041B" w:rsidRPr="00330B99">
              <w:rPr>
                <w:rStyle w:val="Hyperlink"/>
                <w:noProof/>
              </w:rPr>
              <w:t>Administrimi i pyjeve dhe kullotave</w:t>
            </w:r>
            <w:r w:rsidR="00FC041B">
              <w:rPr>
                <w:noProof/>
                <w:webHidden/>
              </w:rPr>
              <w:tab/>
            </w:r>
            <w:r w:rsidR="00FC041B">
              <w:rPr>
                <w:noProof/>
                <w:webHidden/>
              </w:rPr>
              <w:fldChar w:fldCharType="begin"/>
            </w:r>
            <w:r w:rsidR="00FC041B">
              <w:rPr>
                <w:noProof/>
                <w:webHidden/>
              </w:rPr>
              <w:instrText xml:space="preserve"> PAGEREF _Toc213857412 \h </w:instrText>
            </w:r>
            <w:r w:rsidR="00FC041B">
              <w:rPr>
                <w:noProof/>
                <w:webHidden/>
              </w:rPr>
            </w:r>
            <w:r w:rsidR="00FC041B">
              <w:rPr>
                <w:noProof/>
                <w:webHidden/>
              </w:rPr>
              <w:fldChar w:fldCharType="separate"/>
            </w:r>
            <w:r w:rsidR="00FC041B">
              <w:rPr>
                <w:noProof/>
                <w:webHidden/>
              </w:rPr>
              <w:t>29</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3" w:history="1">
            <w:r w:rsidR="00FC041B" w:rsidRPr="00330B99">
              <w:rPr>
                <w:rStyle w:val="Hyperlink"/>
                <w:noProof/>
              </w:rPr>
              <w:t>Mbrojtja nga zjarri dhe mbrojtja civile</w:t>
            </w:r>
            <w:r w:rsidR="00FC041B">
              <w:rPr>
                <w:noProof/>
                <w:webHidden/>
              </w:rPr>
              <w:tab/>
            </w:r>
            <w:r w:rsidR="00FC041B">
              <w:rPr>
                <w:noProof/>
                <w:webHidden/>
              </w:rPr>
              <w:fldChar w:fldCharType="begin"/>
            </w:r>
            <w:r w:rsidR="00FC041B">
              <w:rPr>
                <w:noProof/>
                <w:webHidden/>
              </w:rPr>
              <w:instrText xml:space="preserve"> PAGEREF _Toc213857413 \h </w:instrText>
            </w:r>
            <w:r w:rsidR="00FC041B">
              <w:rPr>
                <w:noProof/>
                <w:webHidden/>
              </w:rPr>
            </w:r>
            <w:r w:rsidR="00FC041B">
              <w:rPr>
                <w:noProof/>
                <w:webHidden/>
              </w:rPr>
              <w:fldChar w:fldCharType="separate"/>
            </w:r>
            <w:r w:rsidR="00FC041B">
              <w:rPr>
                <w:noProof/>
                <w:webHidden/>
              </w:rPr>
              <w:t>35</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4" w:history="1">
            <w:r w:rsidR="00FC041B" w:rsidRPr="00330B99">
              <w:rPr>
                <w:rStyle w:val="Hyperlink"/>
                <w:noProof/>
              </w:rPr>
              <w:t>Përkujdesi Social</w:t>
            </w:r>
            <w:r w:rsidR="00FC041B">
              <w:rPr>
                <w:noProof/>
                <w:webHidden/>
              </w:rPr>
              <w:tab/>
            </w:r>
            <w:r w:rsidR="00FC041B">
              <w:rPr>
                <w:noProof/>
                <w:webHidden/>
              </w:rPr>
              <w:fldChar w:fldCharType="begin"/>
            </w:r>
            <w:r w:rsidR="00FC041B">
              <w:rPr>
                <w:noProof/>
                <w:webHidden/>
              </w:rPr>
              <w:instrText xml:space="preserve"> PAGEREF _Toc213857414 \h </w:instrText>
            </w:r>
            <w:r w:rsidR="00FC041B">
              <w:rPr>
                <w:noProof/>
                <w:webHidden/>
              </w:rPr>
            </w:r>
            <w:r w:rsidR="00FC041B">
              <w:rPr>
                <w:noProof/>
                <w:webHidden/>
              </w:rPr>
              <w:fldChar w:fldCharType="separate"/>
            </w:r>
            <w:r w:rsidR="00FC041B">
              <w:rPr>
                <w:noProof/>
                <w:webHidden/>
              </w:rPr>
              <w:t>44</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5" w:history="1">
            <w:r w:rsidR="00FC041B" w:rsidRPr="00330B99">
              <w:rPr>
                <w:rStyle w:val="Hyperlink"/>
                <w:noProof/>
              </w:rPr>
              <w:t>Furnizimi me Ujë dhe Kanalizime</w:t>
            </w:r>
            <w:r w:rsidR="00FC041B">
              <w:rPr>
                <w:noProof/>
                <w:webHidden/>
              </w:rPr>
              <w:tab/>
            </w:r>
            <w:r w:rsidR="00FC041B">
              <w:rPr>
                <w:noProof/>
                <w:webHidden/>
              </w:rPr>
              <w:fldChar w:fldCharType="begin"/>
            </w:r>
            <w:r w:rsidR="00FC041B">
              <w:rPr>
                <w:noProof/>
                <w:webHidden/>
              </w:rPr>
              <w:instrText xml:space="preserve"> PAGEREF _Toc213857415 \h </w:instrText>
            </w:r>
            <w:r w:rsidR="00FC041B">
              <w:rPr>
                <w:noProof/>
                <w:webHidden/>
              </w:rPr>
            </w:r>
            <w:r w:rsidR="00FC041B">
              <w:rPr>
                <w:noProof/>
                <w:webHidden/>
              </w:rPr>
              <w:fldChar w:fldCharType="separate"/>
            </w:r>
            <w:r w:rsidR="00FC041B">
              <w:rPr>
                <w:noProof/>
                <w:webHidden/>
              </w:rPr>
              <w:t>50</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6" w:history="1">
            <w:r w:rsidR="00FC041B" w:rsidRPr="00330B99">
              <w:rPr>
                <w:rStyle w:val="Hyperlink"/>
                <w:noProof/>
              </w:rPr>
              <w:t>Burimet njerëzore</w:t>
            </w:r>
            <w:r w:rsidR="00FC041B">
              <w:rPr>
                <w:noProof/>
                <w:webHidden/>
              </w:rPr>
              <w:tab/>
            </w:r>
            <w:r w:rsidR="00FC041B">
              <w:rPr>
                <w:noProof/>
                <w:webHidden/>
              </w:rPr>
              <w:fldChar w:fldCharType="begin"/>
            </w:r>
            <w:r w:rsidR="00FC041B">
              <w:rPr>
                <w:noProof/>
                <w:webHidden/>
              </w:rPr>
              <w:instrText xml:space="preserve"> PAGEREF _Toc213857416 \h </w:instrText>
            </w:r>
            <w:r w:rsidR="00FC041B">
              <w:rPr>
                <w:noProof/>
                <w:webHidden/>
              </w:rPr>
            </w:r>
            <w:r w:rsidR="00FC041B">
              <w:rPr>
                <w:noProof/>
                <w:webHidden/>
              </w:rPr>
              <w:fldChar w:fldCharType="separate"/>
            </w:r>
            <w:r w:rsidR="00FC041B">
              <w:rPr>
                <w:noProof/>
                <w:webHidden/>
              </w:rPr>
              <w:t>56</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7" w:history="1">
            <w:r w:rsidR="00FC041B" w:rsidRPr="00330B99">
              <w:rPr>
                <w:rStyle w:val="Hyperlink"/>
                <w:noProof/>
              </w:rPr>
              <w:t>Shërbimet Publike Vendore</w:t>
            </w:r>
            <w:r w:rsidR="00FC041B">
              <w:rPr>
                <w:noProof/>
                <w:webHidden/>
              </w:rPr>
              <w:tab/>
            </w:r>
            <w:r w:rsidR="00FC041B">
              <w:rPr>
                <w:noProof/>
                <w:webHidden/>
              </w:rPr>
              <w:fldChar w:fldCharType="begin"/>
            </w:r>
            <w:r w:rsidR="00FC041B">
              <w:rPr>
                <w:noProof/>
                <w:webHidden/>
              </w:rPr>
              <w:instrText xml:space="preserve"> PAGEREF _Toc213857417 \h </w:instrText>
            </w:r>
            <w:r w:rsidR="00FC041B">
              <w:rPr>
                <w:noProof/>
                <w:webHidden/>
              </w:rPr>
            </w:r>
            <w:r w:rsidR="00FC041B">
              <w:rPr>
                <w:noProof/>
                <w:webHidden/>
              </w:rPr>
              <w:fldChar w:fldCharType="separate"/>
            </w:r>
            <w:r w:rsidR="00FC041B">
              <w:rPr>
                <w:noProof/>
                <w:webHidden/>
              </w:rPr>
              <w:t>65</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8" w:history="1">
            <w:r w:rsidR="00FC041B" w:rsidRPr="00330B99">
              <w:rPr>
                <w:rStyle w:val="Hyperlink"/>
                <w:noProof/>
              </w:rPr>
              <w:t>Rrjeti rrugor rural</w:t>
            </w:r>
            <w:r w:rsidR="00FC041B">
              <w:rPr>
                <w:noProof/>
                <w:webHidden/>
              </w:rPr>
              <w:tab/>
            </w:r>
            <w:r w:rsidR="00FC041B">
              <w:rPr>
                <w:noProof/>
                <w:webHidden/>
              </w:rPr>
              <w:fldChar w:fldCharType="begin"/>
            </w:r>
            <w:r w:rsidR="00FC041B">
              <w:rPr>
                <w:noProof/>
                <w:webHidden/>
              </w:rPr>
              <w:instrText xml:space="preserve"> PAGEREF _Toc213857418 \h </w:instrText>
            </w:r>
            <w:r w:rsidR="00FC041B">
              <w:rPr>
                <w:noProof/>
                <w:webHidden/>
              </w:rPr>
            </w:r>
            <w:r w:rsidR="00FC041B">
              <w:rPr>
                <w:noProof/>
                <w:webHidden/>
              </w:rPr>
              <w:fldChar w:fldCharType="separate"/>
            </w:r>
            <w:r w:rsidR="00FC041B">
              <w:rPr>
                <w:noProof/>
                <w:webHidden/>
              </w:rPr>
              <w:t>74</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19" w:history="1">
            <w:r w:rsidR="00FC041B" w:rsidRPr="00330B99">
              <w:rPr>
                <w:rStyle w:val="Hyperlink"/>
                <w:noProof/>
              </w:rPr>
              <w:t>Trashëgimia kulturore, eventet artistike dhe kulturore</w:t>
            </w:r>
            <w:r w:rsidR="00FC041B">
              <w:rPr>
                <w:noProof/>
                <w:webHidden/>
              </w:rPr>
              <w:tab/>
            </w:r>
            <w:r w:rsidR="00FC041B">
              <w:rPr>
                <w:noProof/>
                <w:webHidden/>
              </w:rPr>
              <w:fldChar w:fldCharType="begin"/>
            </w:r>
            <w:r w:rsidR="00FC041B">
              <w:rPr>
                <w:noProof/>
                <w:webHidden/>
              </w:rPr>
              <w:instrText xml:space="preserve"> PAGEREF _Toc213857419 \h </w:instrText>
            </w:r>
            <w:r w:rsidR="00FC041B">
              <w:rPr>
                <w:noProof/>
                <w:webHidden/>
              </w:rPr>
            </w:r>
            <w:r w:rsidR="00FC041B">
              <w:rPr>
                <w:noProof/>
                <w:webHidden/>
              </w:rPr>
              <w:fldChar w:fldCharType="separate"/>
            </w:r>
            <w:r w:rsidR="00FC041B">
              <w:rPr>
                <w:noProof/>
                <w:webHidden/>
              </w:rPr>
              <w:t>84</w:t>
            </w:r>
            <w:r w:rsidR="00FC041B">
              <w:rPr>
                <w:noProof/>
                <w:webHidden/>
              </w:rPr>
              <w:fldChar w:fldCharType="end"/>
            </w:r>
          </w:hyperlink>
        </w:p>
        <w:p w:rsidR="00FC041B" w:rsidRDefault="00ED2D5A">
          <w:pPr>
            <w:pStyle w:val="TOC1"/>
            <w:tabs>
              <w:tab w:val="right" w:leader="dot" w:pos="9350"/>
            </w:tabs>
            <w:rPr>
              <w:rFonts w:asciiTheme="minorHAnsi" w:hAnsiTheme="minorHAnsi" w:cstheme="minorBidi"/>
              <w:noProof/>
            </w:rPr>
          </w:pPr>
          <w:hyperlink w:anchor="_Toc213857420" w:history="1">
            <w:r w:rsidR="00FC041B" w:rsidRPr="00330B99">
              <w:rPr>
                <w:rStyle w:val="Hyperlink"/>
                <w:b/>
                <w:noProof/>
              </w:rPr>
              <w:t>Kategoria</w:t>
            </w:r>
            <w:r w:rsidR="00FC041B" w:rsidRPr="00330B99">
              <w:rPr>
                <w:rStyle w:val="Hyperlink"/>
                <w:noProof/>
              </w:rPr>
              <w:t>: Mirëqeverisja</w:t>
            </w:r>
            <w:r w:rsidR="00FC041B">
              <w:rPr>
                <w:noProof/>
                <w:webHidden/>
              </w:rPr>
              <w:tab/>
            </w:r>
            <w:r w:rsidR="00FC041B">
              <w:rPr>
                <w:noProof/>
                <w:webHidden/>
              </w:rPr>
              <w:fldChar w:fldCharType="begin"/>
            </w:r>
            <w:r w:rsidR="00FC041B">
              <w:rPr>
                <w:noProof/>
                <w:webHidden/>
              </w:rPr>
              <w:instrText xml:space="preserve"> PAGEREF _Toc213857420 \h </w:instrText>
            </w:r>
            <w:r w:rsidR="00FC041B">
              <w:rPr>
                <w:noProof/>
                <w:webHidden/>
              </w:rPr>
            </w:r>
            <w:r w:rsidR="00FC041B">
              <w:rPr>
                <w:noProof/>
                <w:webHidden/>
              </w:rPr>
              <w:fldChar w:fldCharType="separate"/>
            </w:r>
            <w:r w:rsidR="00FC041B">
              <w:rPr>
                <w:noProof/>
                <w:webHidden/>
              </w:rPr>
              <w:t>90</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21" w:history="1">
            <w:r w:rsidR="00FC041B" w:rsidRPr="00330B99">
              <w:rPr>
                <w:rStyle w:val="Hyperlink"/>
                <w:noProof/>
              </w:rPr>
              <w:t>Burimet Njerëzore</w:t>
            </w:r>
            <w:r w:rsidR="00FC041B">
              <w:rPr>
                <w:noProof/>
                <w:webHidden/>
              </w:rPr>
              <w:tab/>
            </w:r>
            <w:r w:rsidR="00FC041B">
              <w:rPr>
                <w:noProof/>
                <w:webHidden/>
              </w:rPr>
              <w:fldChar w:fldCharType="begin"/>
            </w:r>
            <w:r w:rsidR="00FC041B">
              <w:rPr>
                <w:noProof/>
                <w:webHidden/>
              </w:rPr>
              <w:instrText xml:space="preserve"> PAGEREF _Toc213857421 \h </w:instrText>
            </w:r>
            <w:r w:rsidR="00FC041B">
              <w:rPr>
                <w:noProof/>
                <w:webHidden/>
              </w:rPr>
            </w:r>
            <w:r w:rsidR="00FC041B">
              <w:rPr>
                <w:noProof/>
                <w:webHidden/>
              </w:rPr>
              <w:fldChar w:fldCharType="separate"/>
            </w:r>
            <w:r w:rsidR="00FC041B">
              <w:rPr>
                <w:noProof/>
                <w:webHidden/>
              </w:rPr>
              <w:t>91</w:t>
            </w:r>
            <w:r w:rsidR="00FC041B">
              <w:rPr>
                <w:noProof/>
                <w:webHidden/>
              </w:rPr>
              <w:fldChar w:fldCharType="end"/>
            </w:r>
          </w:hyperlink>
        </w:p>
        <w:p w:rsidR="00FC041B" w:rsidRDefault="00ED2D5A">
          <w:pPr>
            <w:pStyle w:val="TOC1"/>
            <w:tabs>
              <w:tab w:val="right" w:leader="dot" w:pos="9350"/>
            </w:tabs>
            <w:rPr>
              <w:rFonts w:asciiTheme="minorHAnsi" w:hAnsiTheme="minorHAnsi" w:cstheme="minorBidi"/>
              <w:noProof/>
            </w:rPr>
          </w:pPr>
          <w:hyperlink w:anchor="_Toc213857422" w:history="1">
            <w:r w:rsidR="00FC041B" w:rsidRPr="00330B99">
              <w:rPr>
                <w:rStyle w:val="Hyperlink"/>
                <w:b/>
                <w:noProof/>
              </w:rPr>
              <w:t>Kategoria</w:t>
            </w:r>
            <w:r w:rsidR="00FC041B" w:rsidRPr="00330B99">
              <w:rPr>
                <w:rStyle w:val="Hyperlink"/>
                <w:noProof/>
              </w:rPr>
              <w:t>: Menaxhimi Financiar</w:t>
            </w:r>
            <w:r w:rsidR="00FC041B">
              <w:rPr>
                <w:noProof/>
                <w:webHidden/>
              </w:rPr>
              <w:tab/>
            </w:r>
            <w:r w:rsidR="00FC041B">
              <w:rPr>
                <w:noProof/>
                <w:webHidden/>
              </w:rPr>
              <w:fldChar w:fldCharType="begin"/>
            </w:r>
            <w:r w:rsidR="00FC041B">
              <w:rPr>
                <w:noProof/>
                <w:webHidden/>
              </w:rPr>
              <w:instrText xml:space="preserve"> PAGEREF _Toc213857422 \h </w:instrText>
            </w:r>
            <w:r w:rsidR="00FC041B">
              <w:rPr>
                <w:noProof/>
                <w:webHidden/>
              </w:rPr>
            </w:r>
            <w:r w:rsidR="00FC041B">
              <w:rPr>
                <w:noProof/>
                <w:webHidden/>
              </w:rPr>
              <w:fldChar w:fldCharType="separate"/>
            </w:r>
            <w:r w:rsidR="00FC041B">
              <w:rPr>
                <w:noProof/>
                <w:webHidden/>
              </w:rPr>
              <w:t>95</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23" w:history="1">
            <w:r w:rsidR="00FC041B" w:rsidRPr="00330B99">
              <w:rPr>
                <w:rStyle w:val="Hyperlink"/>
                <w:noProof/>
              </w:rPr>
              <w:t>Të Ardhurat</w:t>
            </w:r>
            <w:r w:rsidR="00FC041B">
              <w:rPr>
                <w:noProof/>
                <w:webHidden/>
              </w:rPr>
              <w:tab/>
            </w:r>
            <w:r w:rsidR="00FC041B">
              <w:rPr>
                <w:noProof/>
                <w:webHidden/>
              </w:rPr>
              <w:fldChar w:fldCharType="begin"/>
            </w:r>
            <w:r w:rsidR="00FC041B">
              <w:rPr>
                <w:noProof/>
                <w:webHidden/>
              </w:rPr>
              <w:instrText xml:space="preserve"> PAGEREF _Toc213857423 \h </w:instrText>
            </w:r>
            <w:r w:rsidR="00FC041B">
              <w:rPr>
                <w:noProof/>
                <w:webHidden/>
              </w:rPr>
            </w:r>
            <w:r w:rsidR="00FC041B">
              <w:rPr>
                <w:noProof/>
                <w:webHidden/>
              </w:rPr>
              <w:fldChar w:fldCharType="separate"/>
            </w:r>
            <w:r w:rsidR="00FC041B">
              <w:rPr>
                <w:noProof/>
                <w:webHidden/>
              </w:rPr>
              <w:t>96</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24" w:history="1">
            <w:r w:rsidR="00FC041B" w:rsidRPr="00330B99">
              <w:rPr>
                <w:rStyle w:val="Hyperlink"/>
                <w:noProof/>
              </w:rPr>
              <w:t>Buxheti</w:t>
            </w:r>
            <w:r w:rsidR="00FC041B">
              <w:rPr>
                <w:noProof/>
                <w:webHidden/>
              </w:rPr>
              <w:tab/>
            </w:r>
            <w:r w:rsidR="00FC041B">
              <w:rPr>
                <w:noProof/>
                <w:webHidden/>
              </w:rPr>
              <w:fldChar w:fldCharType="begin"/>
            </w:r>
            <w:r w:rsidR="00FC041B">
              <w:rPr>
                <w:noProof/>
                <w:webHidden/>
              </w:rPr>
              <w:instrText xml:space="preserve"> PAGEREF _Toc213857424 \h </w:instrText>
            </w:r>
            <w:r w:rsidR="00FC041B">
              <w:rPr>
                <w:noProof/>
                <w:webHidden/>
              </w:rPr>
            </w:r>
            <w:r w:rsidR="00FC041B">
              <w:rPr>
                <w:noProof/>
                <w:webHidden/>
              </w:rPr>
              <w:fldChar w:fldCharType="separate"/>
            </w:r>
            <w:r w:rsidR="00FC041B">
              <w:rPr>
                <w:noProof/>
                <w:webHidden/>
              </w:rPr>
              <w:t>104</w:t>
            </w:r>
            <w:r w:rsidR="00FC041B">
              <w:rPr>
                <w:noProof/>
                <w:webHidden/>
              </w:rPr>
              <w:fldChar w:fldCharType="end"/>
            </w:r>
          </w:hyperlink>
        </w:p>
        <w:p w:rsidR="00FC041B" w:rsidRDefault="00ED2D5A">
          <w:pPr>
            <w:pStyle w:val="TOC2"/>
            <w:tabs>
              <w:tab w:val="right" w:leader="dot" w:pos="9350"/>
            </w:tabs>
            <w:rPr>
              <w:rFonts w:asciiTheme="minorHAnsi" w:hAnsiTheme="minorHAnsi" w:cstheme="minorBidi"/>
              <w:noProof/>
            </w:rPr>
          </w:pPr>
          <w:hyperlink w:anchor="_Toc213857425" w:history="1">
            <w:r w:rsidR="00FC041B" w:rsidRPr="00330B99">
              <w:rPr>
                <w:rStyle w:val="Hyperlink"/>
                <w:noProof/>
              </w:rPr>
              <w:t>Shpenzime</w:t>
            </w:r>
            <w:r w:rsidR="00FC041B">
              <w:rPr>
                <w:noProof/>
                <w:webHidden/>
              </w:rPr>
              <w:tab/>
            </w:r>
            <w:r w:rsidR="00FC041B">
              <w:rPr>
                <w:noProof/>
                <w:webHidden/>
              </w:rPr>
              <w:fldChar w:fldCharType="begin"/>
            </w:r>
            <w:r w:rsidR="00FC041B">
              <w:rPr>
                <w:noProof/>
                <w:webHidden/>
              </w:rPr>
              <w:instrText xml:space="preserve"> PAGEREF _Toc213857425 \h </w:instrText>
            </w:r>
            <w:r w:rsidR="00FC041B">
              <w:rPr>
                <w:noProof/>
                <w:webHidden/>
              </w:rPr>
            </w:r>
            <w:r w:rsidR="00FC041B">
              <w:rPr>
                <w:noProof/>
                <w:webHidden/>
              </w:rPr>
              <w:fldChar w:fldCharType="separate"/>
            </w:r>
            <w:r w:rsidR="00FC041B">
              <w:rPr>
                <w:noProof/>
                <w:webHidden/>
              </w:rPr>
              <w:t>107</w:t>
            </w:r>
            <w:r w:rsidR="00FC041B">
              <w:rPr>
                <w:noProof/>
                <w:webHidden/>
              </w:rPr>
              <w:fldChar w:fldCharType="end"/>
            </w:r>
          </w:hyperlink>
        </w:p>
        <w:p w:rsidR="0031045E" w:rsidRDefault="009E0003">
          <w:pPr>
            <w:rPr>
              <w:b/>
              <w:bCs/>
              <w:noProof/>
            </w:rPr>
          </w:pPr>
          <w:r>
            <w:rPr>
              <w:b/>
              <w:bCs/>
              <w:noProof/>
            </w:rPr>
            <w:fldChar w:fldCharType="end"/>
          </w:r>
        </w:p>
        <w:p w:rsidR="009E0003" w:rsidRDefault="00ED2D5A"/>
      </w:sdtContent>
    </w:sdt>
    <w:p w:rsidR="003D32BF" w:rsidRDefault="003D32BF">
      <w:pPr>
        <w:jc w:val="left"/>
        <w:rPr>
          <w:rFonts w:eastAsiaTheme="majorEastAsia" w:cs="Times New Roman"/>
          <w:color w:val="FFFFFF" w:themeColor="background1"/>
          <w:sz w:val="32"/>
          <w:szCs w:val="40"/>
          <w:lang w:val="nl-BE"/>
        </w:rPr>
      </w:pPr>
      <w:r>
        <w:br w:type="page"/>
      </w:r>
    </w:p>
    <w:p w:rsidR="009E0003" w:rsidRPr="009E0003" w:rsidRDefault="009E0003" w:rsidP="009E0003">
      <w:pPr>
        <w:pStyle w:val="firstSessionStyle"/>
      </w:pPr>
      <w:bookmarkStart w:id="3" w:name="_Toc213857405"/>
      <w:r w:rsidRPr="009E0003">
        <w:lastRenderedPageBreak/>
        <w:t>Hyrje</w:t>
      </w:r>
      <w:bookmarkEnd w:id="3"/>
      <w:r w:rsidRPr="009E0003">
        <w:t xml:space="preserve"> </w:t>
      </w:r>
    </w:p>
    <w:p w:rsidR="009E0003" w:rsidRDefault="009E0003" w:rsidP="009E0003">
      <w:pPr>
        <w:rPr>
          <w:rFonts w:cs="Times New Roman"/>
        </w:rPr>
      </w:pPr>
    </w:p>
    <w:p w:rsidR="009E0003" w:rsidRPr="009E0003" w:rsidRDefault="009E0003" w:rsidP="00136FF4">
      <w:pPr>
        <w:rPr>
          <w:rFonts w:cs="Times New Roman"/>
        </w:rPr>
      </w:pPr>
      <w:r w:rsidRPr="009E0003">
        <w:rPr>
          <w:rFonts w:cs="Times New Roman"/>
        </w:rPr>
        <w:t>Ky raport paraqet një analizë të performancës së bashkisë, duke vlerësuar aspektet kryesore të ofrimit të shërbimeve. Në këtë dokument evidentohen arritjet e deritanishme, si dhe fushat ku nevojitet përmirësim.</w:t>
      </w:r>
    </w:p>
    <w:p w:rsidR="009E0003" w:rsidRPr="009E0003" w:rsidRDefault="009E0003" w:rsidP="00136FF4">
      <w:pPr>
        <w:rPr>
          <w:rFonts w:cs="Times New Roman"/>
        </w:rPr>
      </w:pPr>
      <w:r w:rsidRPr="009E0003">
        <w:rPr>
          <w:rFonts w:cs="Times New Roman"/>
        </w:rPr>
        <w:t>Qeverisja vendore në Shqipëri ka përjetuar ndryshime të rëndësishme pas miratimit të Ligjit nr.115, datë 31.07.2014 “Për ndarjen administrativo-territoriale”, i cili konsolidoi 373 bashki dhe komuna në 61 bashki, duke rritur efikasitetin dhe cilësinë e shërbimeve publike. Ky proces reformash, i shoqëruar nga Ligji nr.139/2015 “Për vetëqeverisjen vendore” dhe ligji “Për financat vendore” (2017), ka zgjeruar kompetencat e bashkisë dhe ka forcuar financat vendore, duke mundësuar rritjen e investimeve dhe autonominë fiskale.</w:t>
      </w:r>
    </w:p>
    <w:p w:rsidR="009E0003" w:rsidRPr="009E0003" w:rsidRDefault="009E0003" w:rsidP="00136FF4">
      <w:pPr>
        <w:rPr>
          <w:rFonts w:cs="Times New Roman"/>
        </w:rPr>
      </w:pPr>
      <w:r w:rsidRPr="009E0003">
        <w:rPr>
          <w:rFonts w:cs="Times New Roman"/>
        </w:rPr>
        <w:t>Miratimi i ligjit nr.139/2015 “Për vetëqeverisjen vendore”, i hapi rrugë procesit të decentralizimit të funksioneve:</w:t>
      </w:r>
    </w:p>
    <w:p w:rsidR="009E0003" w:rsidRPr="009E0003" w:rsidRDefault="009E0003" w:rsidP="00136FF4">
      <w:pPr>
        <w:rPr>
          <w:rFonts w:cs="Times New Roman"/>
        </w:rPr>
      </w:pPr>
      <w:r w:rsidRPr="009E0003">
        <w:rPr>
          <w:rFonts w:cs="Times New Roman"/>
        </w:rPr>
        <w:t>1. Administrimi dhe menaxhimi i pyjeve dhe kullotave;</w:t>
      </w:r>
    </w:p>
    <w:p w:rsidR="009E0003" w:rsidRPr="009E0003" w:rsidRDefault="009E0003" w:rsidP="00136FF4">
      <w:pPr>
        <w:rPr>
          <w:rFonts w:cs="Times New Roman"/>
        </w:rPr>
      </w:pPr>
      <w:r w:rsidRPr="009E0003">
        <w:rPr>
          <w:rFonts w:cs="Times New Roman"/>
        </w:rPr>
        <w:t>2. Administrimi dhe menaxhimi i kanaleve kulluese dhe ujitëse;</w:t>
      </w:r>
    </w:p>
    <w:p w:rsidR="009E0003" w:rsidRPr="009E0003" w:rsidRDefault="009E0003" w:rsidP="00136FF4">
      <w:pPr>
        <w:rPr>
          <w:rFonts w:cs="Times New Roman"/>
        </w:rPr>
      </w:pPr>
      <w:r w:rsidRPr="009E0003">
        <w:rPr>
          <w:rFonts w:cs="Times New Roman"/>
        </w:rPr>
        <w:t>3. Administrimi dhe menaxhimi i arsimit parashkollor;</w:t>
      </w:r>
    </w:p>
    <w:p w:rsidR="009E0003" w:rsidRPr="009E0003" w:rsidRDefault="009E0003" w:rsidP="00136FF4">
      <w:pPr>
        <w:rPr>
          <w:rFonts w:cs="Times New Roman"/>
        </w:rPr>
      </w:pPr>
      <w:r w:rsidRPr="009E0003">
        <w:rPr>
          <w:rFonts w:cs="Times New Roman"/>
        </w:rPr>
        <w:t>4. Administrimi dhe menaxhimi i rrugëve rurale;</w:t>
      </w:r>
    </w:p>
    <w:p w:rsidR="009E0003" w:rsidRPr="009E0003" w:rsidRDefault="009E0003" w:rsidP="00136FF4">
      <w:pPr>
        <w:rPr>
          <w:rFonts w:cs="Times New Roman"/>
        </w:rPr>
      </w:pPr>
      <w:r w:rsidRPr="009E0003">
        <w:rPr>
          <w:rFonts w:cs="Times New Roman"/>
        </w:rPr>
        <w:t>5. Administrimi dhe menaxhimi i mbrojtjes nga zjarri dhe shpëtimi.</w:t>
      </w:r>
    </w:p>
    <w:p w:rsidR="003D32BF" w:rsidRDefault="009E0003" w:rsidP="003D32BF">
      <w:pPr>
        <w:rPr>
          <w:rFonts w:eastAsiaTheme="majorEastAsia" w:cs="Times New Roman"/>
          <w:color w:val="FFFFFF" w:themeColor="background1"/>
          <w:sz w:val="32"/>
          <w:szCs w:val="40"/>
          <w:lang w:val="nl-BE"/>
        </w:rPr>
      </w:pPr>
      <w:r w:rsidRPr="009E0003">
        <w:rPr>
          <w:rFonts w:cs="Times New Roman"/>
        </w:rPr>
        <w:t xml:space="preserve">Vlerësimi i performancës në këtë raport bazohet kryesisht në të dhënat vetëdeklaruese të bashkisë, të mbledhura përmes një procesi </w:t>
      </w:r>
      <w:r w:rsidR="0031045E">
        <w:rPr>
          <w:rFonts w:cs="Times New Roman"/>
        </w:rPr>
        <w:t>konsultues me ekspertë tematikë</w:t>
      </w:r>
      <w:bookmarkStart w:id="4" w:name="_Toc207786027"/>
      <w:r w:rsidR="003D32BF">
        <w:br w:type="page"/>
      </w:r>
    </w:p>
    <w:bookmarkStart w:id="5" w:name="_Toc213857406"/>
    <w:p w:rsidR="00D067CE" w:rsidRPr="00FC041B" w:rsidRDefault="00D067CE" w:rsidP="00FC041B">
      <w:pPr>
        <w:pStyle w:val="firstSessionStyle"/>
      </w:pPr>
      <w:r w:rsidRPr="00D067CE">
        <w:rPr>
          <w:noProof/>
          <w:lang w:val="en-US"/>
        </w:rPr>
        <w:lastRenderedPageBreak/>
        <mc:AlternateContent>
          <mc:Choice Requires="wps">
            <w:drawing>
              <wp:anchor distT="45720" distB="45720" distL="114300" distR="114300" simplePos="0" relativeHeight="251675648" behindDoc="0" locked="0" layoutInCell="1" allowOverlap="1" wp14:anchorId="6E6531BA" wp14:editId="712745C9">
                <wp:simplePos x="0" y="0"/>
                <wp:positionH relativeFrom="column">
                  <wp:posOffset>-47625</wp:posOffset>
                </wp:positionH>
                <wp:positionV relativeFrom="paragraph">
                  <wp:posOffset>504825</wp:posOffset>
                </wp:positionV>
                <wp:extent cx="5829300" cy="3343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343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067CE" w:rsidRDefault="00D067CE">
                            <w:bookmarkStart w:id="6" w:name="bashkia_foto"/>
                            <w:bookmarkEnd w:id="6"/>
                            <w:r>
                              <w:rPr>
                                <w:noProof/>
                              </w:rPr>
                              <w:drawing>
                                <wp:inline distT="0" distB="0" distL="0" distR="0" wp14:editId="50D07946">
                                  <wp:extent cx="5630000" cy="32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5630000" cy="326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31BA" id="_x0000_s1029" type="#_x0000_t202" style="position:absolute;left:0;text-align:left;margin-left:-3.75pt;margin-top:39.75pt;width:459pt;height:26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" filled="f" stroked="f">
                <v:textbox>
                  <w:txbxContent>
                    <w:p w:rsidR="00D067CE" w:rsidRDefault="00D067CE">
                      <w:bookmarkStart w:id="8" w:name="bashkia_foto"/>
                      <w:bookmarkEnd w:id="8"/>
                      <w:r>
                        <w:rPr>
                          <w:noProof/>
                        </w:rPr>
                        <w:drawing>
                          <wp:inline distT="0" distB="0" distL="0" distR="0" wp14:editId="50D07946">
                            <wp:extent cx="5630000" cy="32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5630000" cy="3260000"/>
                                    </a:xfrm>
                                    <a:prstGeom prst="borderCallout3">
                                      <a:avLst/>
                                    </a:prstGeom>
                                  </pic:spPr>
                                </pic:pic>
                              </a:graphicData>
                            </a:graphic>
                          </wp:inline>
                        </w:drawing>
                      </w:r>
                    </w:p>
                  </w:txbxContent>
                </v:textbox>
                <w10:wrap type="square"/>
              </v:shape>
            </w:pict>
          </mc:Fallback>
        </mc:AlternateContent>
      </w:r>
      <w:r w:rsidR="009E0003" w:rsidRPr="009E0003">
        <w:t>Vështrim i Përgjithshëm mbi Bashkinë</w:t>
      </w:r>
      <w:bookmarkEnd w:id="4"/>
      <w:bookmarkEnd w:id="5"/>
    </w:p>
    <w:p w:rsidR="009E0003" w:rsidRDefault="009E0003" w:rsidP="009E0003">
      <w:pPr>
        <w:rPr>
          <w:lang w:val="sq-AL"/>
        </w:rPr>
      </w:pPr>
      <w:bookmarkStart w:id="7" w:name="veshtrim_pergjithshem"/>
      <w:bookmarkEnd w:id="7"/>
    </w:p>
    <w:p w:rsidR="009E0003" w:rsidRDefault="009E0003" w:rsidP="009E0003">
      <w:pPr>
        <w:rPr>
          <w:lang w:val="sq-AL"/>
        </w:rPr>
      </w:pPr>
    </w:p>
    <w:p w:rsidR="009E0003" w:rsidRDefault="009E0003" w:rsidP="009E0003">
      <w:pPr>
        <w:rPr>
          <w:lang w:val="sq-AL"/>
        </w:rPr>
      </w:pPr>
      <w:bookmarkStart w:id="8" w:name="veshtrim_pergjithshem1"/>
      <w:bookmarkEnd w:id="8"/>
      <w:r>
        <w:t>Bashkia Memaliaj ndodhet në jug të Shqipërisë, në qarkun e Gjirokastrës, dhe është një nga njësitë vendore që përfshin qytetin e Memaliajt dhe disa fshatra përreth. Ajo shtrihet përgjatë luginës së lumit Vjosë dhe rrethohet nga terrene kodrinore e malore, gjë që i jep një peizazh të larmishëm natyror.  Historikisht, Memaliaj është njohur si një qendër minerare, veçanërisht për nxjerrjen e qymyrit, i cili ka qenë një burim i rëndësishëm ekonomik për zonën për shumë dekada. Pas mbylljes së minierave, ekonomia lokale ka kaluar në faza të tjera zhvillimi, duke u mbështetur më shumë tek bujqësia, blegtoria dhe shërbimet.  Sot, Bashkia Memaliaj po përpiqet të riorientojë zhvillimin e saj drejt turizmit natyror e kulturor, duke shfrytëzuar pasuritë e lumit Vjosë – i njohur si “lumi i fundit i egër” në Europë – si dhe traditat lokale, mikpritjen dhe kuzhinën karakteristike. Po ashtu, investimet në infrastrukturë dhe në përmirësimin e shërbimeve publike mbeten prioritete për rritjen e cilësisë së jetës së banorëve.  Bashkia ka një rëndësi të veçantë për lidhjen e komuniteteve të vogla rurale me qytetin, duke ofruar mundësi më të mira për arsim, shëndetësi dhe zhvillim social-ekonomik.</w:t>
      </w:r>
    </w:p>
    <w:p w:rsidR="009E0003" w:rsidRDefault="009E0003" w:rsidP="009E0003">
      <w:pPr>
        <w:rPr>
          <w:lang w:val="sq-AL"/>
        </w:rPr>
      </w:pPr>
    </w:p>
    <w:p w:rsidR="009E0003" w:rsidRDefault="009E0003" w:rsidP="009E0003">
      <w:pPr>
        <w:rPr>
          <w:lang w:val="sq-AL"/>
        </w:rPr>
      </w:pPr>
      <w:bookmarkStart w:id="9" w:name="veshtrim_pergjithshem2"/>
      <w:bookmarkEnd w:id="9"/>
      <w:r>
        <w:lastRenderedPageBreak/>
        <w:t>Ekonomia e Bashkisë së Memaliaj karakterizohet nga prezenca e informalitetit dhe mbizotërimi i bizneseve të vogla dhe familjare. Numërohen në total rreth 150 biznese, nga të cilat pjesa më e madhe e zhvillojnë aktivitetin në territorin e njësisë administrative Memaliaj . Tregtia dhe shërbimet përqendrojnë mbi gjysmën e aktiviteteve të biznesit në total. Sektori i shërbimeve është më i zhvilluari, ai është përgjegjëse për gati gjysmën e outputit dhe punësimit. Rritmi i rritjes së ketij sektori ka qenë konstant edhe gjatë 4-5 viteve të fundit me një normë mesatare prej 1-2% në vit. Rritja e shpejtë e këtij sektori është e lidhur ngushtë me shfrytëzimin e potencialeve turistike që ka bashkia. Atëherë, shërbimet mund të luajnë rolin e motorrit të rritjes eknomike në vitet në vazhdim. Krahas sektorit të shërbimeve, po tenton të rritet gradualisht aktiviteti me natyrë industriale, që konsiston në bizneset e industrisë së lehtë dhe ushqimore por edhe përpunimin fillestar të bimëve medicinale. Rënia e interesit ndaj zhvillimi të aktiviteteve tradicionale të bujqësisë është e dukshme, diçka më mirë paraqitet prodhimi blegtoral nga baxhot e zonës. Aktivitetet ekszituese bujqësore synojnë më tepër përmbushjen vetëm të nevojave familjare dhe janë të kufizuara në përdorimin e ngastrave jo më të madhe se 1-2 ha për këtë qëllim. Klima e përshtatshme lejon rritjen e rreth 81 mijë rrënjë ullinj dhe 58 mijë rrënjë hardhi. Në fermat blegtorale rriten rreth 70 mijë krerë të imta (50 mijë dele dhe 20 mijë dhi) dhe 4 mijë gjedhë, produktet e të cilave tregtohen edhe jashtë territorit të bashkisë.</w:t>
      </w:r>
    </w:p>
    <w:p w:rsidR="003D32BF" w:rsidRDefault="003D32BF">
      <w:pPr>
        <w:jc w:val="left"/>
        <w:rPr>
          <w:lang w:val="sq-AL"/>
        </w:rPr>
      </w:pPr>
      <w:r>
        <w:rPr>
          <w:lang w:val="sq-AL"/>
        </w:rPr>
        <w:br w:type="page"/>
      </w:r>
    </w:p>
    <w:p w:rsidR="009E0003" w:rsidRDefault="009E0003" w:rsidP="009E0003">
      <w:pPr>
        <w:pStyle w:val="firstSessionStyle"/>
      </w:pPr>
      <w:bookmarkStart w:id="10" w:name="_Toc207786028"/>
      <w:bookmarkStart w:id="11" w:name="_Toc213857407"/>
      <w:r>
        <w:lastRenderedPageBreak/>
        <w:t>Të Dhënat e Përgjithshme të Bashkisë</w:t>
      </w:r>
      <w:bookmarkEnd w:id="10"/>
      <w:bookmarkEnd w:id="11"/>
    </w:p>
    <w:p w:rsidR="009E0003" w:rsidRDefault="009E0003" w:rsidP="009E0003">
      <w:pPr>
        <w:rPr>
          <w:lang w:val="sq-AL"/>
        </w:rPr>
      </w:pPr>
    </w:p>
    <w:p w:rsidR="0005294B" w:rsidRDefault="00F7615D">
      <w:pPr>
        <w:pStyle w:val="NormalWeb"/>
        <w:divId w:val="51467211"/>
      </w:pPr>
      <w:bookmarkStart w:id="12" w:name="interpretim_te_dhena_te_pergjithshme"/>
      <w:bookmarkEnd w:id="12"/>
      <w:r>
        <w:t>Popullsia e Bashkisë Memaliaj është e përqendruar kryesisht në qytet dhe zonat përreth, me pjesë të konsiderueshme të shpërndara në fshatra rurale. Banorët angazhohen kryesisht në bujqësi, blegtori dhe aktivitete të vogla tregtare, ndërsa emigracioni ka ndikuar në reduktimin e popullsisë aktive. Megjithatë, lidhja me vendlindjen ruhet përmes rikthimeve periodike dhe investimeve familjare në komunitet.</w:t>
      </w:r>
    </w:p>
    <w:p w:rsidR="009E0003" w:rsidRDefault="009E0003" w:rsidP="009E0003">
      <w:pPr>
        <w:rPr>
          <w:lang w:val="sq-AL"/>
        </w:rPr>
      </w:pPr>
    </w:p>
    <w:p w:rsidR="003D32BF" w:rsidRDefault="003D32BF">
      <w:pPr>
        <w:jc w:val="left"/>
        <w:rPr>
          <w:lang w:val="sq-AL"/>
        </w:rPr>
      </w:pPr>
      <w:bookmarkStart w:id="13" w:name="te_dhena_pergjithshme_bashkia"/>
      <w:bookmarkEnd w:id="13"/>
      <w:r>
        <w:rPr>
          <w:lang w:val="sq-AL"/>
        </w:rPr>
        <w:br w:type="page"/>
      </w:r>
    </w:p>
    <w:p w:rsidR="0093475F" w:rsidRDefault="00A96BCD" w:rsidP="005F7436">
      <w:pPr>
        <w:pStyle w:val="firstSessionStyle"/>
      </w:pPr>
      <w:bookmarkStart w:id="14" w:name="_Toc213857408"/>
      <w:r w:rsidRPr="00A96BCD">
        <w:rPr>
          <w:b/>
        </w:rPr>
        <w:lastRenderedPageBreak/>
        <w:t>Kategoria</w:t>
      </w:r>
      <w:r>
        <w:t>: Shërbimet</w:t>
      </w:r>
      <w:bookmarkEnd w:id="14"/>
    </w:p>
    <w:p w:rsidR="00400814" w:rsidRPr="00400814" w:rsidRDefault="00400814" w:rsidP="00400814">
      <w:pPr>
        <w:spacing w:before="100" w:beforeAutospacing="1" w:after="100" w:afterAutospacing="1" w:line="240" w:lineRule="auto"/>
        <w:rPr>
          <w:rFonts w:eastAsia="Times New Roman" w:cs="Times New Roman"/>
          <w:kern w:val="0"/>
          <w14:ligatures w14:val="none"/>
        </w:rPr>
      </w:pPr>
      <w:r w:rsidRPr="00400814">
        <w:rPr>
          <w:rFonts w:eastAsia="Times New Roman" w:cs="Times New Roman"/>
          <w:bCs/>
          <w:kern w:val="0"/>
          <w14:ligatures w14:val="none"/>
        </w:rPr>
        <w:t>Monitorimi i performancës së shërbimeve</w:t>
      </w:r>
      <w:r w:rsidRPr="00400814">
        <w:rPr>
          <w:rFonts w:eastAsia="Times New Roman" w:cs="Times New Roman"/>
          <w:kern w:val="0"/>
          <w14:ligatures w14:val="none"/>
        </w:rPr>
        <w:t xml:space="preserve"> është një funksion thelbësor për të siguruar cilësinë, qasjen dhe efektivitetin e shërbimeve që ofrohen nga njësitë e vetëqeverisjes vendore. Ky proces ndihmon në vle</w:t>
      </w:r>
      <w:r>
        <w:rPr>
          <w:rFonts w:eastAsia="Times New Roman" w:cs="Times New Roman"/>
          <w:kern w:val="0"/>
          <w14:ligatures w14:val="none"/>
        </w:rPr>
        <w:t>rësimin e mënyrës se si bashkia përmbush përgjegjësitë e saj</w:t>
      </w:r>
      <w:r w:rsidRPr="00400814">
        <w:rPr>
          <w:rFonts w:eastAsia="Times New Roman" w:cs="Times New Roman"/>
          <w:kern w:val="0"/>
          <w14:ligatures w14:val="none"/>
        </w:rPr>
        <w:t xml:space="preserve"> ndaj qytetarëve, duke u bazuar në parimet e transparencës, llogaridhënies dhe përmirësimit të vazhdueshëm.</w:t>
      </w:r>
    </w:p>
    <w:p w:rsidR="00400814" w:rsidRPr="00400814" w:rsidRDefault="00400814" w:rsidP="00400814">
      <w:pPr>
        <w:spacing w:before="100" w:beforeAutospacing="1" w:after="100" w:afterAutospacing="1" w:line="240" w:lineRule="auto"/>
        <w:rPr>
          <w:rFonts w:eastAsia="Times New Roman" w:cs="Times New Roman"/>
          <w:kern w:val="0"/>
          <w14:ligatures w14:val="none"/>
        </w:rPr>
      </w:pPr>
      <w:r w:rsidRPr="00400814">
        <w:rPr>
          <w:rFonts w:eastAsia="Times New Roman" w:cs="Times New Roman"/>
          <w:kern w:val="0"/>
          <w14:ligatures w14:val="none"/>
        </w:rPr>
        <w:t>Përpara shfaqjes së treguesve të një raporti performance, është e rëndësishme të theksohet se monitorimi i shërbimeve nuk kufizohet vetëm në matjen e rezultateve, por përfshin edhe analizën e burimeve të përdorura, procedurave të ndjekura dhe ndikimit real që shërbimet kanë tek komuniteti.</w:t>
      </w:r>
    </w:p>
    <w:p w:rsidR="00400814" w:rsidRPr="00400814" w:rsidRDefault="00400814" w:rsidP="00400814">
      <w:pPr>
        <w:spacing w:before="100" w:beforeAutospacing="1" w:after="100" w:afterAutospacing="1" w:line="240" w:lineRule="auto"/>
        <w:rPr>
          <w:rFonts w:eastAsia="Times New Roman" w:cs="Times New Roman"/>
          <w:kern w:val="0"/>
          <w14:ligatures w14:val="none"/>
        </w:rPr>
      </w:pPr>
      <w:r w:rsidRPr="00400814">
        <w:rPr>
          <w:rFonts w:eastAsia="Times New Roman" w:cs="Times New Roman"/>
          <w:kern w:val="0"/>
          <w14:ligatures w14:val="none"/>
        </w:rPr>
        <w:t>Kjo kategori mbulon disa fusha të rëndësishme të ofrimit të shërbimeve vendore, të cilat lidhen me cilësinë, efikasitetin dhe kënaqësinë e qytetarëve. Vlerësimi i tyre mundëson identifikimin e pikave të forta, sfidave dhe hapësirave për përmirësim në menaxhimin e shërbimeve publike.</w:t>
      </w:r>
    </w:p>
    <w:p w:rsidR="00400814" w:rsidRPr="00400814" w:rsidRDefault="00400814" w:rsidP="00400814">
      <w:pPr>
        <w:spacing w:before="100" w:beforeAutospacing="1" w:after="100" w:afterAutospacing="1" w:line="240" w:lineRule="auto"/>
        <w:rPr>
          <w:rFonts w:eastAsia="Times New Roman" w:cs="Times New Roman"/>
          <w:kern w:val="0"/>
          <w14:ligatures w14:val="none"/>
        </w:rPr>
      </w:pPr>
      <w:r w:rsidRPr="00400814">
        <w:rPr>
          <w:rFonts w:eastAsia="Times New Roman" w:cs="Times New Roman"/>
          <w:kern w:val="0"/>
          <w14:ligatures w14:val="none"/>
        </w:rPr>
        <w:t>Treguesit që përfshihen në këtë kategori do të ndihmojnë në kuptimin e performancës së bashkive në ofrimin e shërbimeve dhe do të shërbejnë si bazë për vendimmarrje më të informuar dhe orientim drejt rezultateve më të mira për qytetarët.</w:t>
      </w:r>
    </w:p>
    <w:p w:rsidR="003D32BF" w:rsidRDefault="003D32BF">
      <w:pPr>
        <w:jc w:val="left"/>
        <w:rPr>
          <w:b/>
          <w:bCs/>
          <w:lang w:val="nl-BE"/>
        </w:rPr>
      </w:pPr>
      <w:bookmarkStart w:id="15" w:name="Sherbimet"/>
      <w:bookmarkEnd w:id="15"/>
      <w:r>
        <w:rPr>
          <w:b/>
          <w:bCs/>
          <w:lang w:val="nl-BE"/>
        </w:rPr>
        <w:br w:type="page"/>
      </w:r>
    </w:p>
    <w:p w:rsidR="00395608" w:rsidRPr="00395608" w:rsidRDefault="00F7615D" w:rsidP="009E0349">
      <w:pPr>
        <w:pStyle w:val="sherbimiHeader1"/>
        <w:ind w:firstLine="720"/>
      </w:pPr>
      <w:bookmarkStart w:id="16" w:name="programi_buxhhetor"/>
      <w:bookmarkStart w:id="17" w:name="_Toc213857409"/>
      <w:bookmarkEnd w:id="16"/>
      <w:r>
        <w:lastRenderedPageBreak/>
        <w:t>Arsimi bazë përfshirë arsimin parashkollor</w:t>
      </w:r>
      <w:bookmarkEnd w:id="17"/>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bookmarkStart w:id="18" w:name="pershrkim_sherbimi"/>
            <w:bookmarkEnd w:id="18"/>
            <w:r>
              <w:t>Arsimi parashkollor u transferua në vitin 2016. Ligji 139/2015, i ndryshuar përcakton se bashkitë janë përgjegjëse kryesisht për ndërtimin, rehabilitimin dhe mirëmbajtjen e ndërtesave për arsimin parauniversitar, përveç shkollave profesionale, si dhe për administrimin dhe rregullimin e arsimit parashkollor publik, kopshtet. Shumë aspekte të këtij shërbimi trajtohen në bashkëpunim me qeverinë qendrore.   Ky funksion nuk është financuar mjaftueshëm, duke ndikuar në cilësinë dhe disponueshmërinë e arsimit.  Gjendja e shërbimit arsimor në Shqipëri u vlerësua duke përdorur tre tregues kryesorë: normat e regjistrimit të arsimit parashkollor për fëmijët deri në 6 vjeç, niveli i mirëmbajtjes së objekteve arsimore, dhe raporti fëmijë-mësues.</w:t>
            </w:r>
          </w:p>
        </w:tc>
      </w:tr>
    </w:tbl>
    <w:p w:rsidR="00DB217A" w:rsidRDefault="00F7615D" w:rsidP="007A309E">
      <w:pPr>
        <w:sectPr w:rsidR="00DB217A" w:rsidSect="00FC041B">
          <w:pgSz w:w="12240" w:h="15840"/>
          <w:pgMar w:top="1440" w:right="1440" w:bottom="1440" w:left="1440" w:header="720" w:footer="720" w:gutter="0"/>
          <w:cols w:space="720"/>
          <w:titlePg/>
          <w:docGrid w:linePitch="360"/>
        </w:sectPr>
      </w:pPr>
      <w:r>
        <w:rPr>
          <w:noProof/>
        </w:rPr>
        <mc:AlternateContent>
          <mc:Choice Requires="wps">
            <w:drawing>
              <wp:anchor distT="45720" distB="45720" distL="114300" distR="114300" simplePos="0" relativeHeight="251677696"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bookmarkStart w:id="19" w:name="imazh_programi"/>
                            <w:bookmarkEnd w:id="19"/>
                            <w:r>
                              <w:rPr>
                                <w:noProof/>
                              </w:rPr>
                              <w:drawing>
                                <wp:inline distT="0" distB="0" distL="0" distR="0" wp14:editId="50D07946">
                                  <wp:extent cx="5800000" cy="24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0" type="#_x0000_t202" style="position:absolute;left:0;text-align:left;margin-left:.7pt;margin-top:21pt;width:471.75pt;height:20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" filled="f" stroked="f">
                <v:textbox>
                  <w:txbxContent>
                    <w:p w:rsidR="00925CDB" w:rsidRDefault="00F7615D">
                      <w:bookmarkStart w:id="22" w:name="imazh_programi"/>
                      <w:bookmarkEnd w:id="22"/>
                      <w:r>
                        <w:rPr>
                          <w:noProof/>
                        </w:rPr>
                        <w:drawing>
                          <wp:inline distT="0" distB="0" distL="0" distR="0" wp14:editId="50D07946">
                            <wp:extent cx="5800000" cy="24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486"/>
        <w:gridCol w:w="4928"/>
        <w:gridCol w:w="756"/>
        <w:gridCol w:w="756"/>
        <w:gridCol w:w="756"/>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bookmarkStart w:id="20" w:name="indikatore_analize"/>
            <w:bookmarkEnd w:id="20"/>
            <w:r>
              <w:rPr>
                <w:b/>
              </w:rPr>
              <w:t>Treguesi</w:t>
            </w:r>
          </w:p>
        </w:tc>
        <w:tc>
          <w:tcPr>
            <w:tcW w:w="0" w:type="auto"/>
            <w:shd w:val="clear" w:color="auto" w:fill="D9E1F2"/>
            <w:vAlign w:val="center"/>
          </w:tcPr>
          <w:p w:rsidR="00AC67B5" w:rsidRDefault="00F7615D">
            <w:pPr>
              <w:spacing w:after="0" w:line="200" w:lineRule="auto"/>
              <w:jc w:val="left"/>
            </w:pPr>
            <w:r>
              <w:rPr>
                <w:b/>
              </w:rPr>
              <w:t>Përshkrim</w:t>
            </w:r>
          </w:p>
        </w:tc>
        <w:tc>
          <w:tcPr>
            <w:tcW w:w="0" w:type="auto"/>
            <w:shd w:val="clear" w:color="auto" w:fill="D9E1F2"/>
            <w:vAlign w:val="center"/>
          </w:tcPr>
          <w:p w:rsidR="00AC67B5" w:rsidRDefault="00F7615D">
            <w:pPr>
              <w:spacing w:after="0" w:line="200" w:lineRule="auto"/>
              <w:jc w:val="left"/>
            </w:pPr>
            <w:r>
              <w:rPr>
                <w:b/>
              </w:rPr>
              <w:t>2021</w:t>
            </w:r>
          </w:p>
        </w:tc>
        <w:tc>
          <w:tcPr>
            <w:tcW w:w="0" w:type="auto"/>
            <w:shd w:val="clear" w:color="auto" w:fill="D9E1F2"/>
            <w:vAlign w:val="center"/>
          </w:tcPr>
          <w:p w:rsidR="00AC67B5" w:rsidRDefault="00F7615D">
            <w:pPr>
              <w:spacing w:after="0" w:line="200" w:lineRule="auto"/>
              <w:jc w:val="left"/>
            </w:pPr>
            <w:r>
              <w:rPr>
                <w:b/>
              </w:rPr>
              <w:t>2022</w:t>
            </w:r>
          </w:p>
        </w:tc>
        <w:tc>
          <w:tcPr>
            <w:tcW w:w="0" w:type="auto"/>
            <w:shd w:val="clear" w:color="auto" w:fill="D9E1F2"/>
            <w:vAlign w:val="center"/>
          </w:tcPr>
          <w:p w:rsidR="00AC67B5" w:rsidRDefault="00F7615D">
            <w:pPr>
              <w:spacing w:after="0" w:line="200" w:lineRule="auto"/>
              <w:jc w:val="left"/>
            </w:pPr>
            <w:r>
              <w:rPr>
                <w:b/>
              </w:rPr>
              <w:t>2023</w:t>
            </w:r>
          </w:p>
        </w:tc>
        <w:tc>
          <w:tcPr>
            <w:tcW w:w="0" w:type="auto"/>
            <w:shd w:val="clear" w:color="auto" w:fill="D9E1F2"/>
            <w:vAlign w:val="center"/>
          </w:tcPr>
          <w:p w:rsidR="00AC67B5" w:rsidRDefault="00F7615D">
            <w:pPr>
              <w:spacing w:after="0" w:line="200" w:lineRule="auto"/>
              <w:jc w:val="left"/>
            </w:pPr>
            <w:r>
              <w:rPr>
                <w:b/>
              </w:rPr>
              <w:t>2024</w:t>
            </w:r>
          </w:p>
        </w:tc>
        <w:tc>
          <w:tcPr>
            <w:tcW w:w="0" w:type="auto"/>
            <w:shd w:val="clear" w:color="auto" w:fill="D9E1F2"/>
            <w:vAlign w:val="center"/>
          </w:tcPr>
          <w:p w:rsidR="00AC67B5" w:rsidRDefault="00F7615D">
            <w:pPr>
              <w:spacing w:after="0" w:line="200" w:lineRule="auto"/>
              <w:jc w:val="left"/>
            </w:pPr>
            <w:r>
              <w:rPr>
                <w:b/>
              </w:rPr>
              <w:t>2025</w:t>
            </w:r>
          </w:p>
        </w:tc>
        <w:tc>
          <w:tcPr>
            <w:tcW w:w="0" w:type="auto"/>
            <w:shd w:val="clear" w:color="auto" w:fill="D9E1F2"/>
            <w:vAlign w:val="center"/>
          </w:tcPr>
          <w:p w:rsidR="00AC67B5"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Mësimi në klasat e arsimit parashkollor zhvillohet sipas standardit kombëtar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mesatar i fëmijëve për një punonjës mësimor në arsimin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4.48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Mësimi në klasat e arsimit bazë zhvillohet sipas standardit kombëtar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mesatar i nxënësve për çdo punonjës mësimor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5.99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5.99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5.99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5.99</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Mësimi në klasat e arsimit bazë zhvillohet sipas standardit kombëtar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mesatar i nxënësve të arsimit bazë në një klasë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6.19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7.42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7.65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7.42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7.42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Rritja e frekuentimit të sistemit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Raporti në % i numrit të fëmijëve që frekuentojnë sistemin parashkollor kundrejt numrit total të fëmijëve 3 - 6 vjeç</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Përmirësimi i infrastrukturës në kopshte/shkolla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Raporti në % i ndërtesave të kopshteve/shkollave të mirëmbajtura kundrejt ndërtesave funksionale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19.23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19.23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23.08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74.07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76.92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76.92</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bookmarkStart w:id="21" w:name="pashaporta_treguesve"/>
      <w:bookmarkEnd w:id="21"/>
    </w:p>
    <w:p w:rsidR="005745F5" w:rsidRDefault="00ED2D5A">
      <w:bookmarkStart w:id="22" w:name="indikator_analiza"/>
      <w:bookmarkEnd w:id="22"/>
    </w:p>
    <w:p w:rsidR="00681F58" w:rsidRDefault="00F7615D" w:rsidP="00681F58">
      <w:pPr>
        <w:pStyle w:val="indicatorNameStyle"/>
        <w:numPr>
          <w:ilvl w:val="0"/>
          <w:numId w:val="3"/>
        </w:numPr>
      </w:pPr>
      <w:bookmarkStart w:id="23" w:name="emri_indikatori"/>
      <w:bookmarkEnd w:id="23"/>
      <w:r>
        <w:t>Përmirësimi i infrastrukturës në kopshte/shkolla</w:t>
      </w:r>
    </w:p>
    <w:p w:rsidR="00681F58" w:rsidRDefault="00ED2D5A" w:rsidP="00DC2312"/>
    <w:p w:rsidR="00D60D23" w:rsidRDefault="00F7615D" w:rsidP="00DC2312">
      <w:pPr>
        <w:pStyle w:val="indicatordescription"/>
      </w:pPr>
      <w:bookmarkStart w:id="24" w:name="njesia_matese"/>
      <w:bookmarkEnd w:id="24"/>
      <w:r>
        <w:t>Raporti në % i ndërtesave të kopshteve/shkollave të mirëmbajtura kundrejt ndërtesave funksionale në total</w:t>
      </w:r>
    </w:p>
    <w:p w:rsidR="0005294B" w:rsidRDefault="00F7615D">
      <w:pPr>
        <w:pStyle w:val="NormalWeb"/>
        <w:divId w:val="606236898"/>
      </w:pPr>
      <w:bookmarkStart w:id="25" w:name="interpretim_grafiku"/>
      <w:bookmarkEnd w:id="25"/>
      <w:r>
        <w:t xml:space="preserve">Në bashkinë Memaliaj, raporti në përqindje i ndërtesave të kopshteve dhe shkollave të mirëmbajtura kundrejt numrit total të ndërtesave funksionale ka treguar pak përmirësim gjatë viteve të fundit. Në vitin </w:t>
      </w:r>
      <w:r>
        <w:rPr>
          <w:rStyle w:val="Strong"/>
          <w:rFonts w:eastAsiaTheme="majorEastAsia"/>
        </w:rPr>
        <w:t>2021</w:t>
      </w:r>
      <w:r>
        <w:t xml:space="preserve">, ky raport ishte </w:t>
      </w:r>
      <w:r>
        <w:rPr>
          <w:rStyle w:val="Strong"/>
          <w:rFonts w:eastAsiaTheme="majorEastAsia"/>
        </w:rPr>
        <w:t>19.23%</w:t>
      </w:r>
      <w:r>
        <w:t xml:space="preserve">, një shifër e cila u mbajt e pandryshuar edhe në vitin </w:t>
      </w:r>
      <w:r>
        <w:rPr>
          <w:rStyle w:val="Strong"/>
          <w:rFonts w:eastAsiaTheme="majorEastAsia"/>
        </w:rPr>
        <w:t>2022</w:t>
      </w:r>
      <w:r>
        <w:t xml:space="preserve">. Kjo tregon se nuk ka pasur një rritje të mirëmbajtjes gjatë kësaj periudhe dyvjeçare. Megjithatë, në vitin </w:t>
      </w:r>
      <w:r>
        <w:rPr>
          <w:rStyle w:val="Strong"/>
          <w:rFonts w:eastAsiaTheme="majorEastAsia"/>
        </w:rPr>
        <w:t>2023</w:t>
      </w:r>
      <w:r>
        <w:t xml:space="preserve">, ky raport u rrit në </w:t>
      </w:r>
      <w:r>
        <w:rPr>
          <w:rStyle w:val="Strong"/>
          <w:rFonts w:eastAsiaTheme="majorEastAsia"/>
        </w:rPr>
        <w:t>23.08%</w:t>
      </w:r>
      <w:r>
        <w:t xml:space="preserve">, një shifër që është mbajtur e pandryshuar deri në projeksionet për vitin </w:t>
      </w:r>
      <w:r>
        <w:rPr>
          <w:rStyle w:val="Strong"/>
          <w:rFonts w:eastAsiaTheme="majorEastAsia"/>
        </w:rPr>
        <w:t>2026</w:t>
      </w:r>
      <w:r>
        <w:t xml:space="preserve">. Kjo rritje prej rreth </w:t>
      </w:r>
      <w:r>
        <w:rPr>
          <w:rStyle w:val="Strong"/>
          <w:rFonts w:eastAsiaTheme="majorEastAsia"/>
        </w:rPr>
        <w:t>3.85%</w:t>
      </w:r>
      <w:r>
        <w:t xml:space="preserve"> nga viti </w:t>
      </w:r>
      <w:r>
        <w:rPr>
          <w:rStyle w:val="Strong"/>
          <w:rFonts w:eastAsiaTheme="majorEastAsia"/>
        </w:rPr>
        <w:t>2022</w:t>
      </w:r>
      <w:r>
        <w:t xml:space="preserve"> në </w:t>
      </w:r>
      <w:r>
        <w:rPr>
          <w:rStyle w:val="Strong"/>
          <w:rFonts w:eastAsiaTheme="majorEastAsia"/>
        </w:rPr>
        <w:t>2023</w:t>
      </w:r>
      <w:r>
        <w:t xml:space="preserve"> shënon një përpjekje të dukshme për përmirësimin e infrastrukturës arsimore lokale. Stabiliteti i këtyre shifrave nga viti </w:t>
      </w:r>
      <w:r>
        <w:rPr>
          <w:rStyle w:val="Strong"/>
          <w:rFonts w:eastAsiaTheme="majorEastAsia"/>
        </w:rPr>
        <w:t>2023</w:t>
      </w:r>
      <w:r>
        <w:t xml:space="preserve"> deri në </w:t>
      </w:r>
      <w:r>
        <w:rPr>
          <w:rStyle w:val="Strong"/>
          <w:rFonts w:eastAsiaTheme="majorEastAsia"/>
        </w:rPr>
        <w:t>2026</w:t>
      </w:r>
      <w:r>
        <w:t xml:space="preserve"> sugjeron një mbajtje të qëndrueshme të këtyre përmirësimeve infrastrukturore. Është e rëndësishme të vazhdohet me investime në mirëmbajtjen e ndërtesave arsimore, për të siguruar standarde më të larta mësimore. Mirëmbajtja e ndërtesave arsimore është e rëndësishme për t'i siguruar fëmijëve një ambient të sigurt dhe të përshtatshëm për arsim. Rritja e qëndrueshme e mirëmbajtjes është një argument pozitiv për përkushtimin e bashkisë ndaj arsimit.</w:t>
      </w:r>
    </w:p>
    <w:p w:rsidR="00D60D23" w:rsidRDefault="00ED2D5A" w:rsidP="00681F58"/>
    <w:p w:rsidR="00822F95" w:rsidRDefault="00F7615D">
      <w:bookmarkStart w:id="26" w:name="grafik_indikatori"/>
      <w:r>
        <w:rPr>
          <w:noProof/>
        </w:rPr>
        <w:lastRenderedPageBreak/>
        <w:drawing>
          <wp:inline distT="0" distB="0" distL="0" distR="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6"/>
    </w:p>
    <w:p w:rsidR="005D52FA" w:rsidRDefault="00ED2D5A" w:rsidP="0030311D"/>
    <w:p w:rsidR="005D52FA" w:rsidRDefault="00ED2D5A" w:rsidP="0030311D"/>
    <w:p w:rsidR="005D52FA" w:rsidRDefault="00ED2D5A" w:rsidP="0030311D"/>
    <w:p w:rsidR="00086748" w:rsidRDefault="00ED2D5A" w:rsidP="00EE4A4A">
      <w:pPr>
        <w:pStyle w:val="pharagraphSpacing"/>
      </w:pPr>
    </w:p>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8408"/>
        <w:gridCol w:w="757"/>
        <w:gridCol w:w="757"/>
        <w:gridCol w:w="757"/>
        <w:gridCol w:w="757"/>
        <w:gridCol w:w="757"/>
        <w:gridCol w:w="757"/>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bookmarkStart w:id="27" w:name="te_dhena_produkte_performanca"/>
            <w:bookmarkEnd w:id="27"/>
            <w:r>
              <w:rPr>
                <w:b/>
              </w:rPr>
              <w:t>E dhëna</w:t>
            </w:r>
          </w:p>
        </w:tc>
        <w:tc>
          <w:tcPr>
            <w:tcW w:w="0" w:type="auto"/>
            <w:shd w:val="clear" w:color="auto" w:fill="D9E1F2"/>
            <w:vAlign w:val="center"/>
          </w:tcPr>
          <w:p w:rsidR="00AC67B5" w:rsidRDefault="00F7615D">
            <w:pPr>
              <w:spacing w:after="0" w:line="200" w:lineRule="auto"/>
              <w:jc w:val="left"/>
            </w:pPr>
            <w:r>
              <w:rPr>
                <w:b/>
              </w:rPr>
              <w:t>2021</w:t>
            </w:r>
          </w:p>
        </w:tc>
        <w:tc>
          <w:tcPr>
            <w:tcW w:w="0" w:type="auto"/>
            <w:shd w:val="clear" w:color="auto" w:fill="D9E1F2"/>
            <w:vAlign w:val="center"/>
          </w:tcPr>
          <w:p w:rsidR="00AC67B5" w:rsidRDefault="00F7615D">
            <w:pPr>
              <w:spacing w:after="0" w:line="200" w:lineRule="auto"/>
              <w:jc w:val="left"/>
            </w:pPr>
            <w:r>
              <w:rPr>
                <w:b/>
              </w:rPr>
              <w:t>2022</w:t>
            </w:r>
          </w:p>
        </w:tc>
        <w:tc>
          <w:tcPr>
            <w:tcW w:w="0" w:type="auto"/>
            <w:shd w:val="clear" w:color="auto" w:fill="D9E1F2"/>
            <w:vAlign w:val="center"/>
          </w:tcPr>
          <w:p w:rsidR="00AC67B5" w:rsidRDefault="00F7615D">
            <w:pPr>
              <w:spacing w:after="0" w:line="200" w:lineRule="auto"/>
              <w:jc w:val="left"/>
            </w:pPr>
            <w:r>
              <w:rPr>
                <w:b/>
              </w:rPr>
              <w:t>2023</w:t>
            </w:r>
          </w:p>
        </w:tc>
        <w:tc>
          <w:tcPr>
            <w:tcW w:w="0" w:type="auto"/>
            <w:shd w:val="clear" w:color="auto" w:fill="D9E1F2"/>
            <w:vAlign w:val="center"/>
          </w:tcPr>
          <w:p w:rsidR="00AC67B5" w:rsidRDefault="00F7615D">
            <w:pPr>
              <w:spacing w:after="0" w:line="200" w:lineRule="auto"/>
              <w:jc w:val="left"/>
            </w:pPr>
            <w:r>
              <w:rPr>
                <w:b/>
              </w:rPr>
              <w:t>2024</w:t>
            </w:r>
          </w:p>
        </w:tc>
        <w:tc>
          <w:tcPr>
            <w:tcW w:w="0" w:type="auto"/>
            <w:shd w:val="clear" w:color="auto" w:fill="D9E1F2"/>
            <w:vAlign w:val="center"/>
          </w:tcPr>
          <w:p w:rsidR="00AC67B5" w:rsidRDefault="00F7615D">
            <w:pPr>
              <w:spacing w:after="0" w:line="200" w:lineRule="auto"/>
              <w:jc w:val="left"/>
            </w:pPr>
            <w:r>
              <w:rPr>
                <w:b/>
              </w:rPr>
              <w:t>2025</w:t>
            </w:r>
          </w:p>
        </w:tc>
        <w:tc>
          <w:tcPr>
            <w:tcW w:w="0" w:type="auto"/>
            <w:shd w:val="clear" w:color="auto" w:fill="D9E1F2"/>
            <w:vAlign w:val="center"/>
          </w:tcPr>
          <w:p w:rsidR="00AC67B5"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Ndërtesa funksionale të arsimit bazë dhe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fëmijëve të regjistruar në sistemin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139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mësuesve në sistemin e arsimit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Nxënës të regjistruar në arsimin 9-vjeçar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497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497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497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497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mësuesve në sistemin e arsimit bazë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155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Klasa në sistemin parashkollor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Klasa në sistemin e arsimit bazë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102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fëmijëve të moshës 3 - 6 vjeç rezident në territorin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139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210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total i godinave të kopshteve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Siperfaqe e kopshteve ne m2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kopshteve me drekë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1 rampave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Numri i tualeteve për fëmijët me AK</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Objekte te arsimit baze dhe parashkollor të përmirësuara / mirëmbajtura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C67B5" w:rsidRDefault="00F7615D">
            <w:pPr>
              <w:spacing w:after="0" w:line="240" w:lineRule="auto"/>
            </w:pPr>
            <w:r>
              <w:t>20</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bookmarkStart w:id="28" w:name="pashaporta_e_te_dhenave"/>
      <w:bookmarkEnd w:id="28"/>
    </w:p>
    <w:p w:rsidR="005745F5" w:rsidRDefault="00ED2D5A">
      <w:bookmarkStart w:id="29" w:name="analiza_e_te_dhenave"/>
      <w:bookmarkEnd w:id="29"/>
    </w:p>
    <w:p w:rsidR="001F32AA" w:rsidRDefault="00F7615D" w:rsidP="001F32AA">
      <w:pPr>
        <w:pStyle w:val="dataNameStyle"/>
      </w:pPr>
      <w:bookmarkStart w:id="30" w:name="emer_te_dhene"/>
      <w:bookmarkEnd w:id="30"/>
      <w:r>
        <w:t>Numri i fëmijëve të regjistruar në sistemin parashkollor</w:t>
      </w:r>
    </w:p>
    <w:p w:rsidR="001F32AA" w:rsidRDefault="00ED2D5A" w:rsidP="006A3D44"/>
    <w:p w:rsidR="0005294B" w:rsidRDefault="00F7615D">
      <w:pPr>
        <w:pStyle w:val="NormalWeb"/>
        <w:divId w:val="19013275"/>
      </w:pPr>
      <w:r>
        <w:t xml:space="preserve">Të dhënat e paraqitura për bashkinë Memaliaj tregojnë një dinamikë interesante të numrit të fëmijëve të regjistruar në sistemin parashkollor gjatë viteve në shqyrtim. Në </w:t>
      </w:r>
      <w:r>
        <w:rPr>
          <w:rStyle w:val="Strong"/>
          <w:rFonts w:eastAsiaTheme="majorEastAsia"/>
        </w:rPr>
        <w:t>2021</w:t>
      </w:r>
      <w:r>
        <w:t xml:space="preserve">, numri i fëmijëve të regjistruar ka qenë </w:t>
      </w:r>
      <w:r>
        <w:rPr>
          <w:rStyle w:val="Strong"/>
          <w:rFonts w:eastAsiaTheme="majorEastAsia"/>
        </w:rPr>
        <w:t>25</w:t>
      </w:r>
      <w:r>
        <w:t xml:space="preserve">, duke pësuar një ulje në </w:t>
      </w:r>
      <w:r>
        <w:rPr>
          <w:rStyle w:val="Strong"/>
          <w:rFonts w:eastAsiaTheme="majorEastAsia"/>
        </w:rPr>
        <w:t>2022</w:t>
      </w:r>
      <w:r>
        <w:t xml:space="preserve"> me një total prej </w:t>
      </w:r>
      <w:r>
        <w:rPr>
          <w:rStyle w:val="Strong"/>
          <w:rFonts w:eastAsiaTheme="majorEastAsia"/>
        </w:rPr>
        <w:t>21</w:t>
      </w:r>
      <w:r>
        <w:t xml:space="preserve"> fëmijësh. Megjithatë, në </w:t>
      </w:r>
      <w:r>
        <w:rPr>
          <w:rStyle w:val="Strong"/>
          <w:rFonts w:eastAsiaTheme="majorEastAsia"/>
        </w:rPr>
        <w:t>2023</w:t>
      </w:r>
      <w:r>
        <w:t xml:space="preserve">, ka një rritje dramatike, ku numri arrin në </w:t>
      </w:r>
      <w:r>
        <w:rPr>
          <w:rStyle w:val="Strong"/>
          <w:rFonts w:eastAsiaTheme="majorEastAsia"/>
        </w:rPr>
        <w:t>210</w:t>
      </w:r>
      <w:r>
        <w:t xml:space="preserve"> fëmijë, i njëjti numër që vazhdon edhe në </w:t>
      </w:r>
      <w:r>
        <w:rPr>
          <w:rStyle w:val="Strong"/>
          <w:rFonts w:eastAsiaTheme="majorEastAsia"/>
        </w:rPr>
        <w:t>2025</w:t>
      </w:r>
      <w:r>
        <w:t xml:space="preserve"> dhe </w:t>
      </w:r>
      <w:r>
        <w:rPr>
          <w:rStyle w:val="Strong"/>
          <w:rFonts w:eastAsiaTheme="majorEastAsia"/>
        </w:rPr>
        <w:t>2026</w:t>
      </w:r>
      <w:r>
        <w:t xml:space="preserve">. Viti </w:t>
      </w:r>
      <w:r>
        <w:rPr>
          <w:rStyle w:val="Strong"/>
          <w:rFonts w:eastAsiaTheme="majorEastAsia"/>
        </w:rPr>
        <w:t>2024</w:t>
      </w:r>
      <w:r>
        <w:t xml:space="preserve"> shënon një pikë kalimtare, me numrin e regjistrimeve që arrin </w:t>
      </w:r>
      <w:r>
        <w:rPr>
          <w:rStyle w:val="Strong"/>
          <w:rFonts w:eastAsiaTheme="majorEastAsia"/>
        </w:rPr>
        <w:t>139</w:t>
      </w:r>
      <w:r>
        <w:t xml:space="preserve">, tregues i një rritjeje të konsiderueshme krahasuar me vitet e mëparshme. Kjo rritje drastike midis </w:t>
      </w:r>
      <w:r>
        <w:rPr>
          <w:rStyle w:val="Strong"/>
          <w:rFonts w:eastAsiaTheme="majorEastAsia"/>
        </w:rPr>
        <w:t>2022</w:t>
      </w:r>
      <w:r>
        <w:t xml:space="preserve"> dhe </w:t>
      </w:r>
      <w:r>
        <w:rPr>
          <w:rStyle w:val="Strong"/>
          <w:rFonts w:eastAsiaTheme="majorEastAsia"/>
        </w:rPr>
        <w:t>2023</w:t>
      </w:r>
      <w:r>
        <w:t xml:space="preserve"> mund të jetë pasojë e politikave të reja edukative ose infrastruktura të përmirësuara në bashki. Vlera </w:t>
      </w:r>
      <w:r>
        <w:rPr>
          <w:rStyle w:val="Strong"/>
          <w:rFonts w:eastAsiaTheme="majorEastAsia"/>
        </w:rPr>
        <w:t>210</w:t>
      </w:r>
      <w:r>
        <w:t xml:space="preserve"> për vitet </w:t>
      </w:r>
      <w:r>
        <w:rPr>
          <w:rStyle w:val="Strong"/>
          <w:rFonts w:eastAsiaTheme="majorEastAsia"/>
        </w:rPr>
        <w:t>2023</w:t>
      </w:r>
      <w:r>
        <w:t xml:space="preserve">, </w:t>
      </w:r>
      <w:r>
        <w:rPr>
          <w:rStyle w:val="Strong"/>
          <w:rFonts w:eastAsiaTheme="majorEastAsia"/>
        </w:rPr>
        <w:t>2025</w:t>
      </w:r>
      <w:r>
        <w:t xml:space="preserve">, dhe </w:t>
      </w:r>
      <w:r>
        <w:rPr>
          <w:rStyle w:val="Strong"/>
          <w:rFonts w:eastAsiaTheme="majorEastAsia"/>
        </w:rPr>
        <w:t>2026</w:t>
      </w:r>
      <w:r>
        <w:t xml:space="preserve"> tregon një stabilizim pas rritjes fillestare në </w:t>
      </w:r>
      <w:r>
        <w:rPr>
          <w:rStyle w:val="Strong"/>
          <w:rFonts w:eastAsiaTheme="majorEastAsia"/>
        </w:rPr>
        <w:t>2024</w:t>
      </w:r>
      <w:r>
        <w:t>. Kjo pasqyron një interes të qëndrueshëm ose një kapacitet maksimal të infrastrukturës për vitet përkatëse. Përmirësimet në sistemin parashkollor mund të kenë ndikuar në rritjen dhe stabilizimin e këtyre shifrave. Një analizë më e detajuar do të ishte e nevojshme për të kuptuar faktorët specifikë pas këtyre ndryshimeve.</w:t>
      </w:r>
    </w:p>
    <w:p w:rsidR="00273E47" w:rsidRDefault="00ED2D5A" w:rsidP="001F32AA"/>
    <w:p w:rsidR="005745F5" w:rsidRDefault="00F7615D">
      <w:bookmarkStart w:id="31" w:name="grafiku"/>
      <w:r>
        <w:rPr>
          <w:noProof/>
        </w:rPr>
        <w:drawing>
          <wp:inline distT="0" distB="0" distL="0" distR="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31"/>
    </w:p>
    <w:p w:rsidR="001F32AA" w:rsidRDefault="00F7615D" w:rsidP="001F32AA">
      <w:pPr>
        <w:pStyle w:val="dataNameStyle"/>
      </w:pPr>
      <w:r>
        <w:lastRenderedPageBreak/>
        <w:t>Numri i mësuesve në sistemin e arsimit parashkollor</w:t>
      </w:r>
    </w:p>
    <w:p w:rsidR="001F32AA" w:rsidRDefault="00ED2D5A" w:rsidP="006A3D44"/>
    <w:p w:rsidR="0005294B" w:rsidRDefault="00F7615D">
      <w:pPr>
        <w:pStyle w:val="NormalWeb"/>
        <w:divId w:val="1468933702"/>
      </w:pPr>
      <w:r>
        <w:t xml:space="preserve">Të dhënat për numrin e mësuesve në sistemin e arsimit parashkollor në Bashkinë e Memaliajt tregojnë një ndryshim të dukshëm gjatë viteve të fundit. Në </w:t>
      </w:r>
      <w:r>
        <w:rPr>
          <w:rStyle w:val="Strong"/>
          <w:rFonts w:eastAsiaTheme="majorEastAsia"/>
        </w:rPr>
        <w:t>2021</w:t>
      </w:r>
      <w:r>
        <w:t xml:space="preserve"> dhe </w:t>
      </w:r>
      <w:r>
        <w:rPr>
          <w:rStyle w:val="Strong"/>
          <w:rFonts w:eastAsiaTheme="majorEastAsia"/>
        </w:rPr>
        <w:t>2022</w:t>
      </w:r>
      <w:r>
        <w:t xml:space="preserve">, numri i mësuesve ka qenë konstant me vetëm </w:t>
      </w:r>
      <w:r>
        <w:rPr>
          <w:rStyle w:val="Strong"/>
          <w:rFonts w:eastAsiaTheme="majorEastAsia"/>
        </w:rPr>
        <w:t>5</w:t>
      </w:r>
      <w:r>
        <w:t xml:space="preserve"> mësues. Ky numër tregon se fillimisht kishte një mungesë ose stabilitet në burimet njerëzore në arsimin parashkollor. Megjithatë, një rritje e theksuar vërehet në </w:t>
      </w:r>
      <w:r>
        <w:rPr>
          <w:rStyle w:val="Strong"/>
          <w:rFonts w:eastAsiaTheme="majorEastAsia"/>
        </w:rPr>
        <w:t>2023</w:t>
      </w:r>
      <w:r>
        <w:t xml:space="preserve">, ku numri i mësuesve u rrit në </w:t>
      </w:r>
      <w:r>
        <w:rPr>
          <w:rStyle w:val="Strong"/>
          <w:rFonts w:eastAsiaTheme="majorEastAsia"/>
        </w:rPr>
        <w:t>30</w:t>
      </w:r>
      <w:r>
        <w:t xml:space="preserve">. Kjo rritje drastike ndoshta reflekton një fokus më të madh në arsimin e hershëm apo investime të reja nga autoritetet lokale. Ky trend i rritjes së numrit të mësuesve vazhdon edhe në </w:t>
      </w:r>
      <w:r>
        <w:rPr>
          <w:rStyle w:val="Strong"/>
          <w:rFonts w:eastAsiaTheme="majorEastAsia"/>
        </w:rPr>
        <w:t>2024</w:t>
      </w:r>
      <w:r>
        <w:t xml:space="preserve">, me numrin që arrin kulmin në </w:t>
      </w:r>
      <w:r>
        <w:rPr>
          <w:rStyle w:val="Strong"/>
          <w:rFonts w:eastAsiaTheme="majorEastAsia"/>
        </w:rPr>
        <w:t>31</w:t>
      </w:r>
      <w:r>
        <w:t xml:space="preserve"> mësues. Gjithsesi, në </w:t>
      </w:r>
      <w:r>
        <w:rPr>
          <w:rStyle w:val="Strong"/>
          <w:rFonts w:eastAsiaTheme="majorEastAsia"/>
        </w:rPr>
        <w:t>2025</w:t>
      </w:r>
      <w:r>
        <w:t xml:space="preserve"> dhe </w:t>
      </w:r>
      <w:r>
        <w:rPr>
          <w:rStyle w:val="Strong"/>
          <w:rFonts w:eastAsiaTheme="majorEastAsia"/>
        </w:rPr>
        <w:t>2026</w:t>
      </w:r>
      <w:r>
        <w:t xml:space="preserve">, shohim një stabilizim të numrit të mësuesve në </w:t>
      </w:r>
      <w:r>
        <w:rPr>
          <w:rStyle w:val="Strong"/>
          <w:rFonts w:eastAsiaTheme="majorEastAsia"/>
        </w:rPr>
        <w:t>30</w:t>
      </w:r>
      <w:r>
        <w:t xml:space="preserve">, që tregon një fazë konsolidimi pas rritjes. Kjo mund të jetë rezultat i përcaktimit të nevojave reale të komunitetit për mësues. Përmirësimi i stafit mësimdhënës është një zhvillim pozitiv për cilësinë e arsimit parashkollor në Memaliaj. Ndryshimet e theksuara nga viti </w:t>
      </w:r>
      <w:r>
        <w:rPr>
          <w:rStyle w:val="Strong"/>
          <w:rFonts w:eastAsiaTheme="majorEastAsia"/>
        </w:rPr>
        <w:t>2021</w:t>
      </w:r>
      <w:r>
        <w:t xml:space="preserve"> në vitin </w:t>
      </w:r>
      <w:r>
        <w:rPr>
          <w:rStyle w:val="Strong"/>
          <w:rFonts w:eastAsiaTheme="majorEastAsia"/>
        </w:rPr>
        <w:t>2026</w:t>
      </w:r>
      <w:r>
        <w:t xml:space="preserve"> reflektojnë një transformim të rëndësishëm në këtë sektor edukimi.</w:t>
      </w:r>
    </w:p>
    <w:p w:rsidR="00273E47" w:rsidRDefault="00ED2D5A" w:rsidP="001F32AA"/>
    <w:p w:rsidR="00ED5A1B" w:rsidRDefault="00F7615D" w:rsidP="001F32AA">
      <w:r>
        <w:rPr>
          <w:noProof/>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52FA" w:rsidRDefault="00ED2D5A" w:rsidP="0030311D"/>
    <w:p w:rsidR="005745F5" w:rsidRDefault="00ED2D5A"/>
    <w:p w:rsidR="00FC041B" w:rsidRDefault="00FC041B"/>
    <w:p w:rsidR="001F32AA" w:rsidRDefault="00F7615D" w:rsidP="001F32AA">
      <w:pPr>
        <w:pStyle w:val="dataNameStyle"/>
      </w:pPr>
      <w:r>
        <w:lastRenderedPageBreak/>
        <w:t>Nxënës të regjistruar në arsimin 9-vjeçar</w:t>
      </w:r>
    </w:p>
    <w:p w:rsidR="001F32AA" w:rsidRDefault="00ED2D5A" w:rsidP="006A3D44"/>
    <w:p w:rsidR="0005294B" w:rsidRDefault="00F7615D">
      <w:pPr>
        <w:pStyle w:val="NormalWeb"/>
        <w:divId w:val="1835413603"/>
      </w:pPr>
      <w:r>
        <w:t xml:space="preserve">Të dhënat e bashkisë Memaliaj për nxënës të regjistruar në arsimin 9-vjeçar tregojnë një tendencë rënëse në vite. Në </w:t>
      </w:r>
      <w:r>
        <w:rPr>
          <w:rStyle w:val="Strong"/>
          <w:rFonts w:eastAsiaTheme="majorEastAsia"/>
        </w:rPr>
        <w:t>2021</w:t>
      </w:r>
      <w:r>
        <w:t xml:space="preserve">, numri i nxënësve ishte </w:t>
      </w:r>
      <w:r>
        <w:rPr>
          <w:rStyle w:val="Strong"/>
          <w:rFonts w:eastAsiaTheme="majorEastAsia"/>
        </w:rPr>
        <w:t>840</w:t>
      </w:r>
      <w:r>
        <w:t xml:space="preserve">, duke shënuar një shifër relativisht të lartë në krahasim me vitet e mëvonshme. Në </w:t>
      </w:r>
      <w:r>
        <w:rPr>
          <w:rStyle w:val="Strong"/>
          <w:rFonts w:eastAsiaTheme="majorEastAsia"/>
        </w:rPr>
        <w:t>2022</w:t>
      </w:r>
      <w:r>
        <w:t xml:space="preserve">, ky numër ra ndjeshëm në </w:t>
      </w:r>
      <w:r>
        <w:rPr>
          <w:rStyle w:val="Strong"/>
          <w:rFonts w:eastAsiaTheme="majorEastAsia"/>
        </w:rPr>
        <w:t>631</w:t>
      </w:r>
      <w:r>
        <w:t xml:space="preserve">, duke reflektuar një rënie të dukshme prej </w:t>
      </w:r>
      <w:r>
        <w:rPr>
          <w:rStyle w:val="Strong"/>
          <w:rFonts w:eastAsiaTheme="majorEastAsia"/>
        </w:rPr>
        <w:t>209</w:t>
      </w:r>
      <w:r>
        <w:t xml:space="preserve"> nxënësish. Për vitet </w:t>
      </w:r>
      <w:r>
        <w:rPr>
          <w:rStyle w:val="Strong"/>
          <w:rFonts w:eastAsiaTheme="majorEastAsia"/>
        </w:rPr>
        <w:t>2023</w:t>
      </w:r>
      <w:r>
        <w:t xml:space="preserve">,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numri i nxënësve mbetet konstant në </w:t>
      </w:r>
      <w:r>
        <w:rPr>
          <w:rStyle w:val="Strong"/>
          <w:rFonts w:eastAsiaTheme="majorEastAsia"/>
        </w:rPr>
        <w:t>497</w:t>
      </w:r>
      <w:r>
        <w:t xml:space="preserve">. Kjo përfaqëson një rënie të mëtejshme dhe stabilizim në një shifër mjaft më të ulët se ajo e </w:t>
      </w:r>
      <w:r>
        <w:rPr>
          <w:rStyle w:val="Strong"/>
          <w:rFonts w:eastAsiaTheme="majorEastAsia"/>
        </w:rPr>
        <w:t>2021</w:t>
      </w:r>
      <w:r>
        <w:t xml:space="preserve">. Puna për të analizuar shkaqet e kësaj rënieje mund të jetë thelbësore për planifikimin arsimor dhe zhvillimin e politikave të ndihmës. Faktorë të mundshëm që mund të kenë ndikuar përfshijnë emigrimin, ndryshimet demografike, apo mungesën e investimeve në arsim. Megjithëse </w:t>
      </w:r>
      <w:r>
        <w:rPr>
          <w:rStyle w:val="Strong"/>
          <w:rFonts w:eastAsiaTheme="majorEastAsia"/>
        </w:rPr>
        <w:t>2022</w:t>
      </w:r>
      <w:r>
        <w:t xml:space="preserve"> tregoi rënien më të madhe, stabiliteti i shifrave pas këtij viti sugjeron një periudhë të re normalizimi. Diskutimi dhe analizimi i mëtejshëm i këtyre të dhënave është i nevojshëm për të kuptuar më mirë nevojat arsimore të komunitetit.</w:t>
      </w:r>
    </w:p>
    <w:p w:rsidR="00273E47" w:rsidRDefault="00ED2D5A" w:rsidP="001F32AA"/>
    <w:p w:rsidR="00ED5A1B" w:rsidRDefault="00F7615D" w:rsidP="001F32AA">
      <w:r>
        <w:rPr>
          <w:noProof/>
        </w:rPr>
        <w:drawing>
          <wp:inline distT="0" distB="0" distL="0" distR="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52FA" w:rsidRDefault="00ED2D5A" w:rsidP="0030311D"/>
    <w:p w:rsidR="00395608" w:rsidRPr="00395608" w:rsidRDefault="00F7615D" w:rsidP="009E0349">
      <w:pPr>
        <w:pStyle w:val="sherbimiHeader1"/>
        <w:ind w:firstLine="720"/>
      </w:pPr>
      <w:bookmarkStart w:id="32" w:name="_Toc213857410"/>
      <w:r>
        <w:lastRenderedPageBreak/>
        <w:t>Arsimi i mesëm i përgjithshëm</w:t>
      </w:r>
      <w:bookmarkEnd w:id="3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Bashkia është përgjegjëse për ndërtimin, rehabilitimin dhe mirëmbajtjen e institucioneve dhe ndërtesave tw arsimit të mesëm të përgjithshëm, duke përjashtuar shkollat profesionale, si dhe shpenzimet për pagat e stafit mbështetës. Kjo përfshin gjithashtu administrimin, organizimin e inspektimin e shërbimeve në konvikte, për strehimin dhe ofrimin e vateve ushqimore për nxënësit.</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79744"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1" type="#_x0000_t202" style="position:absolute;left:0;text-align:left;margin-left:.7pt;margin-top:21pt;width:471.75pt;height:20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" filled="f" stroked="f">
                <v:textbox>
                  <w:txbxContent>
                    <w:p w:rsidR="00925CDB" w:rsidRDefault="00F7615D">
                      <w:r>
                        <w:rPr>
                          <w:noProof/>
                        </w:rPr>
                        <w:drawing>
                          <wp:inline distT="0" distB="0" distL="0" distR="0" wp14:editId="50D07946">
                            <wp:extent cx="5800000" cy="24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603"/>
        <w:gridCol w:w="4811"/>
        <w:gridCol w:w="756"/>
        <w:gridCol w:w="756"/>
        <w:gridCol w:w="756"/>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593E9B" w:rsidRDefault="00F7615D">
            <w:pPr>
              <w:spacing w:after="0" w:line="200" w:lineRule="auto"/>
              <w:jc w:val="left"/>
            </w:pPr>
            <w:r>
              <w:rPr>
                <w:b/>
              </w:rPr>
              <w:t>Përshkrim</w:t>
            </w:r>
          </w:p>
        </w:tc>
        <w:tc>
          <w:tcPr>
            <w:tcW w:w="0" w:type="auto"/>
            <w:shd w:val="clear" w:color="auto" w:fill="D9E1F2"/>
            <w:vAlign w:val="center"/>
          </w:tcPr>
          <w:p w:rsidR="00593E9B" w:rsidRDefault="00F7615D">
            <w:pPr>
              <w:spacing w:after="0" w:line="200" w:lineRule="auto"/>
              <w:jc w:val="left"/>
            </w:pPr>
            <w:r>
              <w:rPr>
                <w:b/>
              </w:rPr>
              <w:t>2021</w:t>
            </w:r>
          </w:p>
        </w:tc>
        <w:tc>
          <w:tcPr>
            <w:tcW w:w="0" w:type="auto"/>
            <w:shd w:val="clear" w:color="auto" w:fill="D9E1F2"/>
            <w:vAlign w:val="center"/>
          </w:tcPr>
          <w:p w:rsidR="00593E9B" w:rsidRDefault="00F7615D">
            <w:pPr>
              <w:spacing w:after="0" w:line="200" w:lineRule="auto"/>
              <w:jc w:val="left"/>
            </w:pPr>
            <w:r>
              <w:rPr>
                <w:b/>
              </w:rPr>
              <w:t>2022</w:t>
            </w:r>
          </w:p>
        </w:tc>
        <w:tc>
          <w:tcPr>
            <w:tcW w:w="0" w:type="auto"/>
            <w:shd w:val="clear" w:color="auto" w:fill="D9E1F2"/>
            <w:vAlign w:val="center"/>
          </w:tcPr>
          <w:p w:rsidR="00593E9B" w:rsidRDefault="00F7615D">
            <w:pPr>
              <w:spacing w:after="0" w:line="200" w:lineRule="auto"/>
              <w:jc w:val="left"/>
            </w:pPr>
            <w:r>
              <w:rPr>
                <w:b/>
              </w:rPr>
              <w:t>2023</w:t>
            </w:r>
          </w:p>
        </w:tc>
        <w:tc>
          <w:tcPr>
            <w:tcW w:w="0" w:type="auto"/>
            <w:shd w:val="clear" w:color="auto" w:fill="D9E1F2"/>
            <w:vAlign w:val="center"/>
          </w:tcPr>
          <w:p w:rsidR="00593E9B" w:rsidRDefault="00F7615D">
            <w:pPr>
              <w:spacing w:after="0" w:line="200" w:lineRule="auto"/>
              <w:jc w:val="left"/>
            </w:pPr>
            <w:r>
              <w:rPr>
                <w:b/>
              </w:rPr>
              <w:t>2024</w:t>
            </w:r>
          </w:p>
        </w:tc>
        <w:tc>
          <w:tcPr>
            <w:tcW w:w="0" w:type="auto"/>
            <w:shd w:val="clear" w:color="auto" w:fill="D9E1F2"/>
            <w:vAlign w:val="center"/>
          </w:tcPr>
          <w:p w:rsidR="00593E9B" w:rsidRDefault="00F7615D">
            <w:pPr>
              <w:spacing w:after="0" w:line="200" w:lineRule="auto"/>
              <w:jc w:val="left"/>
            </w:pPr>
            <w:r>
              <w:rPr>
                <w:b/>
              </w:rPr>
              <w:t>2025</w:t>
            </w:r>
          </w:p>
        </w:tc>
        <w:tc>
          <w:tcPr>
            <w:tcW w:w="0" w:type="auto"/>
            <w:shd w:val="clear" w:color="auto" w:fill="D9E1F2"/>
            <w:vAlign w:val="center"/>
          </w:tcPr>
          <w:p w:rsidR="00593E9B"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Mësimi në klasat e arsimit të mesëm zhvillohet sipas  standardit kombëtar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Numri mesatar i nxënësve për çdo punonjës mësimor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10.43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16.31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15.15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15.15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15.15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15.15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Përmirësimi i infrastrukturës në shkollat e mesme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Raporti në % i shkollave të mesme të mirëmbajtura kundrejt ndërtesave funksionale të arsimit të mesëm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100</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086748" w:rsidRDefault="00ED2D5A" w:rsidP="00EE4A4A">
      <w:pPr>
        <w:pStyle w:val="pharagraphSpacing"/>
      </w:pPr>
    </w:p>
    <w:p w:rsidR="007A309E" w:rsidRPr="006456B4" w:rsidRDefault="00F7615D" w:rsidP="00F3586A">
      <w:pPr>
        <w:pStyle w:val="DataIndicatorText"/>
        <w:rPr>
          <w:rStyle w:val="IntenseEmphasis"/>
          <w:i/>
          <w:iCs w:val="0"/>
        </w:rPr>
      </w:pPr>
      <w:r w:rsidRPr="00F3586A">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7900"/>
        <w:gridCol w:w="841"/>
        <w:gridCol w:w="841"/>
        <w:gridCol w:w="842"/>
        <w:gridCol w:w="842"/>
        <w:gridCol w:w="842"/>
        <w:gridCol w:w="842"/>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593E9B" w:rsidRDefault="00F7615D">
            <w:pPr>
              <w:spacing w:after="0" w:line="200" w:lineRule="auto"/>
              <w:jc w:val="left"/>
            </w:pPr>
            <w:r>
              <w:rPr>
                <w:b/>
              </w:rPr>
              <w:t>2021</w:t>
            </w:r>
          </w:p>
        </w:tc>
        <w:tc>
          <w:tcPr>
            <w:tcW w:w="0" w:type="auto"/>
            <w:shd w:val="clear" w:color="auto" w:fill="D9E1F2"/>
            <w:vAlign w:val="center"/>
          </w:tcPr>
          <w:p w:rsidR="00593E9B" w:rsidRDefault="00F7615D">
            <w:pPr>
              <w:spacing w:after="0" w:line="200" w:lineRule="auto"/>
              <w:jc w:val="left"/>
            </w:pPr>
            <w:r>
              <w:rPr>
                <w:b/>
              </w:rPr>
              <w:t>2022</w:t>
            </w:r>
          </w:p>
        </w:tc>
        <w:tc>
          <w:tcPr>
            <w:tcW w:w="0" w:type="auto"/>
            <w:shd w:val="clear" w:color="auto" w:fill="D9E1F2"/>
            <w:vAlign w:val="center"/>
          </w:tcPr>
          <w:p w:rsidR="00593E9B" w:rsidRDefault="00F7615D">
            <w:pPr>
              <w:spacing w:after="0" w:line="200" w:lineRule="auto"/>
              <w:jc w:val="left"/>
            </w:pPr>
            <w:r>
              <w:rPr>
                <w:b/>
              </w:rPr>
              <w:t>2023</w:t>
            </w:r>
          </w:p>
        </w:tc>
        <w:tc>
          <w:tcPr>
            <w:tcW w:w="0" w:type="auto"/>
            <w:shd w:val="clear" w:color="auto" w:fill="D9E1F2"/>
            <w:vAlign w:val="center"/>
          </w:tcPr>
          <w:p w:rsidR="00593E9B" w:rsidRDefault="00F7615D">
            <w:pPr>
              <w:spacing w:after="0" w:line="200" w:lineRule="auto"/>
              <w:jc w:val="left"/>
            </w:pPr>
            <w:r>
              <w:rPr>
                <w:b/>
              </w:rPr>
              <w:t>2024</w:t>
            </w:r>
          </w:p>
        </w:tc>
        <w:tc>
          <w:tcPr>
            <w:tcW w:w="0" w:type="auto"/>
            <w:shd w:val="clear" w:color="auto" w:fill="D9E1F2"/>
            <w:vAlign w:val="center"/>
          </w:tcPr>
          <w:p w:rsidR="00593E9B" w:rsidRDefault="00F7615D">
            <w:pPr>
              <w:spacing w:after="0" w:line="200" w:lineRule="auto"/>
              <w:jc w:val="left"/>
            </w:pPr>
            <w:r>
              <w:rPr>
                <w:b/>
              </w:rPr>
              <w:t>2025</w:t>
            </w:r>
          </w:p>
        </w:tc>
        <w:tc>
          <w:tcPr>
            <w:tcW w:w="0" w:type="auto"/>
            <w:shd w:val="clear" w:color="auto" w:fill="D9E1F2"/>
            <w:vAlign w:val="center"/>
          </w:tcPr>
          <w:p w:rsidR="00593E9B"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Klasa në sistemin e arsimit të mesëm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39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39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39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39</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Mësues në sistemin e arsimit të mesëm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28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12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Nxënës të regjistruar në sistemin e arsimit të mesëm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240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261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591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591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591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591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Ndërtesa funksionale të arsimit të mesëm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Objekte te arsimit të mesëm të përmirësuara / mirëmbajtura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593E9B" w:rsidRDefault="00F7615D">
            <w:pPr>
              <w:spacing w:after="0" w:line="240" w:lineRule="auto"/>
            </w:pPr>
            <w:r>
              <w:t>5</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Nxënës të regjistruar në sistemin e arsimit të mesëm</w:t>
      </w:r>
    </w:p>
    <w:p w:rsidR="001F32AA" w:rsidRDefault="00ED2D5A" w:rsidP="006A3D44"/>
    <w:p w:rsidR="0005294B" w:rsidRDefault="00F7615D">
      <w:pPr>
        <w:pStyle w:val="NormalWeb"/>
        <w:divId w:val="1023435221"/>
      </w:pPr>
      <w:r>
        <w:t xml:space="preserve">Bazuar në të dhënat e ofruara për bashkinë Memaliaj, </w:t>
      </w:r>
      <w:r>
        <w:rPr>
          <w:rStyle w:val="Strong"/>
          <w:rFonts w:eastAsiaTheme="majorEastAsia"/>
        </w:rPr>
        <w:t>numri i nxënësve të regjistruar në sistemin e arsimit të mesëm</w:t>
      </w:r>
      <w:r>
        <w:t xml:space="preserve"> ka pësuar një rritje të dukshme me kalimin e viteve. Në vitin </w:t>
      </w:r>
      <w:r>
        <w:rPr>
          <w:rStyle w:val="Strong"/>
          <w:rFonts w:eastAsiaTheme="majorEastAsia"/>
        </w:rPr>
        <w:t>2021</w:t>
      </w:r>
      <w:r>
        <w:t xml:space="preserve">, numri i tyre ishte </w:t>
      </w:r>
      <w:r>
        <w:rPr>
          <w:rStyle w:val="Strong"/>
          <w:rFonts w:eastAsiaTheme="majorEastAsia"/>
        </w:rPr>
        <w:t>240</w:t>
      </w:r>
      <w:r>
        <w:t xml:space="preserve">, ndërsa në </w:t>
      </w:r>
      <w:r>
        <w:rPr>
          <w:rStyle w:val="Strong"/>
          <w:rFonts w:eastAsiaTheme="majorEastAsia"/>
        </w:rPr>
        <w:t>2022</w:t>
      </w:r>
      <w:r>
        <w:t xml:space="preserve"> u rrit në </w:t>
      </w:r>
      <w:r>
        <w:rPr>
          <w:rStyle w:val="Strong"/>
          <w:rFonts w:eastAsiaTheme="majorEastAsia"/>
        </w:rPr>
        <w:t>261</w:t>
      </w:r>
      <w:r>
        <w:t xml:space="preserve">. Për vitin </w:t>
      </w:r>
      <w:r>
        <w:rPr>
          <w:rStyle w:val="Strong"/>
          <w:rFonts w:eastAsiaTheme="majorEastAsia"/>
        </w:rPr>
        <w:t>2023</w:t>
      </w:r>
      <w:r>
        <w:t xml:space="preserve">, u vëren një rritje e jashtëzakonshme me numrin e nxënësve që u katërfishua në </w:t>
      </w:r>
      <w:r>
        <w:rPr>
          <w:rStyle w:val="Strong"/>
          <w:rFonts w:eastAsiaTheme="majorEastAsia"/>
        </w:rPr>
        <w:t>591</w:t>
      </w:r>
      <w:r>
        <w:t xml:space="preserve">. Kjo prirje pozitive vazhdon edhe për vitet pasuese, me numrin e nxënësve që mbetet konstant në </w:t>
      </w:r>
      <w:r>
        <w:rPr>
          <w:rStyle w:val="Strong"/>
          <w:rFonts w:eastAsiaTheme="majorEastAsia"/>
        </w:rPr>
        <w:t>591</w:t>
      </w:r>
      <w:r>
        <w:t xml:space="preserve"> për vitet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Këto të dhëna tregojnë për një stabilizim pas një periudhe rritjeje të shpejtë. Kjo mund të jetë pasojë e përmirësimeve strukturore në sistemin e arsimit apo edhe faktorëve demografikë. Ndryshimi dramatic nga </w:t>
      </w:r>
      <w:r>
        <w:rPr>
          <w:rStyle w:val="Strong"/>
          <w:rFonts w:eastAsiaTheme="majorEastAsia"/>
        </w:rPr>
        <w:t>2022</w:t>
      </w:r>
      <w:r>
        <w:t xml:space="preserve"> në </w:t>
      </w:r>
      <w:r>
        <w:rPr>
          <w:rStyle w:val="Strong"/>
          <w:rFonts w:eastAsiaTheme="majorEastAsia"/>
        </w:rPr>
        <w:t>2023</w:t>
      </w:r>
      <w:r>
        <w:t xml:space="preserve"> është i dukshëm dhe sugjeron ndërhyrje të mundshme për përmirësimin e infrastrukturës arsimore ose politika të reja. Faktori që kontribuon në stabilizimin deri më </w:t>
      </w:r>
      <w:r>
        <w:rPr>
          <w:rStyle w:val="Strong"/>
          <w:rFonts w:eastAsiaTheme="majorEastAsia"/>
        </w:rPr>
        <w:t>2026</w:t>
      </w:r>
      <w:r>
        <w:t xml:space="preserve"> mund të jetë rëndësia që po i jepet arsimit në këtë zonë. Megjithatë, bashkia mund të ketë nevojë të monitorojë këtë tendencë për të siguruar burime të mjaftueshme dhe cilësi të arsimit për nxënësit.</w:t>
      </w:r>
    </w:p>
    <w:p w:rsidR="00273E47" w:rsidRDefault="00ED2D5A" w:rsidP="001F32AA"/>
    <w:p w:rsidR="00ED5A1B" w:rsidRDefault="00F7615D" w:rsidP="001F32AA">
      <w:r>
        <w:rPr>
          <w:noProof/>
        </w:rPr>
        <w:drawing>
          <wp:inline distT="0" distB="0" distL="0" distR="0">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5608" w:rsidRPr="00395608" w:rsidRDefault="00F7615D" w:rsidP="009E0349">
      <w:pPr>
        <w:pStyle w:val="sherbimiHeader1"/>
        <w:ind w:firstLine="720"/>
      </w:pPr>
      <w:bookmarkStart w:id="33" w:name="_Toc213857411"/>
      <w:r>
        <w:lastRenderedPageBreak/>
        <w:t>Menaxhimi i infrastrukturës së ujitjes dhe kullimit</w:t>
      </w:r>
      <w:bookmarkEnd w:id="33"/>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Shërbimi i ujitje-kullimit përfshin mirëmbajtjen e kanaleve dytësore dhe tretësore u transferua bashkive në vitin 2016. Gjatë këtyre viteve është synuar përmirësimi i këtij shërbimi duke investuar në mirëmbajtjen e kësaj infrastrukture, për të ardhur në ndihmë të fermerëve dhe ekonomive vendore.  Bashkia është përgjegjëse për ndërtimin ose organizimin e sistemeve të kontrollit të përmbytjeve, sistemeve të ujitjes dhe kullimit, si dhe administrimin, shfrytëzimin dhe mirëmbajtjen e infrastrukturës së ujitjes dhe kullimit.</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1792"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2" type="#_x0000_t202" style="position:absolute;left:0;text-align:left;margin-left:.7pt;margin-top:21pt;width:471.75pt;height:20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" filled="f" stroked="f">
                <v:textbox>
                  <w:txbxContent>
                    <w:p w:rsidR="00925CDB" w:rsidRDefault="00F7615D">
                      <w:r>
                        <w:rPr>
                          <w:noProof/>
                        </w:rPr>
                        <w:drawing>
                          <wp:inline distT="0" distB="0" distL="0" distR="0" wp14:editId="50D07946">
                            <wp:extent cx="5800000" cy="24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7793"/>
        <w:gridCol w:w="852"/>
        <w:gridCol w:w="861"/>
        <w:gridCol w:w="861"/>
        <w:gridCol w:w="861"/>
        <w:gridCol w:w="861"/>
        <w:gridCol w:w="861"/>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FA5A8C" w:rsidRDefault="00F7615D">
            <w:pPr>
              <w:spacing w:after="0" w:line="200" w:lineRule="auto"/>
              <w:jc w:val="left"/>
            </w:pPr>
            <w:r>
              <w:rPr>
                <w:b/>
              </w:rPr>
              <w:t>2021</w:t>
            </w:r>
          </w:p>
        </w:tc>
        <w:tc>
          <w:tcPr>
            <w:tcW w:w="0" w:type="auto"/>
            <w:shd w:val="clear" w:color="auto" w:fill="D9E1F2"/>
            <w:vAlign w:val="center"/>
          </w:tcPr>
          <w:p w:rsidR="00FA5A8C" w:rsidRDefault="00F7615D">
            <w:pPr>
              <w:spacing w:after="0" w:line="200" w:lineRule="auto"/>
              <w:jc w:val="left"/>
            </w:pPr>
            <w:r>
              <w:rPr>
                <w:b/>
              </w:rPr>
              <w:t>2022</w:t>
            </w:r>
          </w:p>
        </w:tc>
        <w:tc>
          <w:tcPr>
            <w:tcW w:w="0" w:type="auto"/>
            <w:shd w:val="clear" w:color="auto" w:fill="D9E1F2"/>
            <w:vAlign w:val="center"/>
          </w:tcPr>
          <w:p w:rsidR="00FA5A8C" w:rsidRDefault="00F7615D">
            <w:pPr>
              <w:spacing w:after="0" w:line="200" w:lineRule="auto"/>
              <w:jc w:val="left"/>
            </w:pPr>
            <w:r>
              <w:rPr>
                <w:b/>
              </w:rPr>
              <w:t>2023</w:t>
            </w:r>
          </w:p>
        </w:tc>
        <w:tc>
          <w:tcPr>
            <w:tcW w:w="0" w:type="auto"/>
            <w:shd w:val="clear" w:color="auto" w:fill="D9E1F2"/>
            <w:vAlign w:val="center"/>
          </w:tcPr>
          <w:p w:rsidR="00FA5A8C" w:rsidRDefault="00F7615D">
            <w:pPr>
              <w:spacing w:after="0" w:line="200" w:lineRule="auto"/>
              <w:jc w:val="left"/>
            </w:pPr>
            <w:r>
              <w:rPr>
                <w:b/>
              </w:rPr>
              <w:t>2024</w:t>
            </w:r>
          </w:p>
        </w:tc>
        <w:tc>
          <w:tcPr>
            <w:tcW w:w="0" w:type="auto"/>
            <w:shd w:val="clear" w:color="auto" w:fill="D9E1F2"/>
            <w:vAlign w:val="center"/>
          </w:tcPr>
          <w:p w:rsidR="00FA5A8C" w:rsidRDefault="00F7615D">
            <w:pPr>
              <w:spacing w:after="0" w:line="200" w:lineRule="auto"/>
              <w:jc w:val="left"/>
            </w:pPr>
            <w:r>
              <w:rPr>
                <w:b/>
              </w:rPr>
              <w:t>2025</w:t>
            </w:r>
          </w:p>
        </w:tc>
        <w:tc>
          <w:tcPr>
            <w:tcW w:w="0" w:type="auto"/>
            <w:shd w:val="clear" w:color="auto" w:fill="D9E1F2"/>
            <w:vAlign w:val="center"/>
          </w:tcPr>
          <w:p w:rsidR="00FA5A8C"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Rrjet ujitës në pronësi të bashkisë në total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172.4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172.4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172.4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172.4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172.4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Rrjet kullues në pronësi të bashkisë në total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Diga dhe rezervuarë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Diga funksionale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Rezervuarë funksionksionalë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Sipërfaqe e tokës bujqësore e mbuluar me sistem ujitës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1115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Sipërfaqja e tokës bujqësore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Sipërfaqe e tokës bujqësore e kultivuar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7500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Familje që banojnë në zonat rurale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12015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13000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13000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13000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13000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Rrjet ujitës dhe kullues në pronësi të bashkisë në total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95.3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Sipërfaqe e tokës bujqësore e mbuluar me sistem ujitës dhe kullues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900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Sipërfaqe e tokës bujqësore e mbuluar me sistem kullues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22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Numri i stafit i angazhuar për shërbimin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A5A8C" w:rsidRDefault="00F7615D">
            <w:pPr>
              <w:spacing w:after="0" w:line="240" w:lineRule="auto"/>
            </w:pPr>
            <w:r>
              <w:t>4</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395608" w:rsidRPr="00395608" w:rsidRDefault="00F7615D" w:rsidP="009E0349">
      <w:pPr>
        <w:pStyle w:val="sherbimiHeader1"/>
        <w:ind w:firstLine="720"/>
      </w:pPr>
      <w:bookmarkStart w:id="34" w:name="_Toc213857412"/>
      <w:r>
        <w:lastRenderedPageBreak/>
        <w:t>Administrimi i pyjeve dhe kullotave</w:t>
      </w:r>
      <w:bookmarkEnd w:id="34"/>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Pas zbatimit të Reformës Administrative-Territoriale, bashkive në Shqipëri iu ngarkua përgjegjësia për menaxhimin dhe administrimin e pyjeve dhe kullotave, përjashtuar zonat e mbrojtura. Ky ndryshim synon forcimin e rolit të qeverisjes vendore në menaxhimin e burimeve natyrore, rritjen e përgjegjshmërisë, si dhe afrim më të madh të shërbimeve pranë komuniteteve. Përmes këtij procesi, bashkitë marrin një rol të drejtpërdrejtë në ruajtjen, përdorimin e qëndrueshëm dhe zhvillimin e këtyre pasurive natyrore, duke ndikuar pozitivisht në mirëqenien ekonomike dhe sociale të banorëve.  Bashkia është përgjegjëse për sigurimin e administrimit e shërbimeve pyjore, administrimin e fondit pyjor dhe kullosor, shfrytëzimin e racionalizuar të rezervave pyjore dhe kullosore, konservimin dhe zgjerimin e tyre. Bashkia siguron mikëqyrjen dhe disiplinimin e operacioneve pyjore, dhënien e liçencave për prerje pemësh, ripyllëzime, kontrolle të dëmtuesve dhe sëmundjeve si dhe ofrimin e shërbimeve për operatorët pyjorë.</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3840"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3" type="#_x0000_t202" style="position:absolute;left:0;text-align:left;margin-left:.7pt;margin-top:21pt;width:471.75pt;height:20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" filled="f" stroked="f">
                <v:textbox>
                  <w:txbxContent>
                    <w:p w:rsidR="00925CDB" w:rsidRDefault="00F7615D">
                      <w:r>
                        <w:rPr>
                          <w:noProof/>
                        </w:rPr>
                        <w:drawing>
                          <wp:inline distT="0" distB="0" distL="0" distR="0" wp14:editId="50D07946">
                            <wp:extent cx="5800000" cy="24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4348"/>
        <w:gridCol w:w="4426"/>
        <w:gridCol w:w="696"/>
        <w:gridCol w:w="696"/>
        <w:gridCol w:w="696"/>
        <w:gridCol w:w="696"/>
        <w:gridCol w:w="696"/>
        <w:gridCol w:w="69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FF1734" w:rsidRDefault="00F7615D">
            <w:pPr>
              <w:spacing w:after="0" w:line="200" w:lineRule="auto"/>
              <w:jc w:val="left"/>
            </w:pPr>
            <w:r>
              <w:rPr>
                <w:b/>
              </w:rPr>
              <w:t>Përshkrim</w:t>
            </w:r>
          </w:p>
        </w:tc>
        <w:tc>
          <w:tcPr>
            <w:tcW w:w="0" w:type="auto"/>
            <w:shd w:val="clear" w:color="auto" w:fill="D9E1F2"/>
            <w:vAlign w:val="center"/>
          </w:tcPr>
          <w:p w:rsidR="00FF1734" w:rsidRDefault="00F7615D">
            <w:pPr>
              <w:spacing w:after="0" w:line="200" w:lineRule="auto"/>
              <w:jc w:val="left"/>
            </w:pPr>
            <w:r>
              <w:rPr>
                <w:b/>
              </w:rPr>
              <w:t>2021</w:t>
            </w:r>
          </w:p>
        </w:tc>
        <w:tc>
          <w:tcPr>
            <w:tcW w:w="0" w:type="auto"/>
            <w:shd w:val="clear" w:color="auto" w:fill="D9E1F2"/>
            <w:vAlign w:val="center"/>
          </w:tcPr>
          <w:p w:rsidR="00FF1734" w:rsidRDefault="00F7615D">
            <w:pPr>
              <w:spacing w:after="0" w:line="200" w:lineRule="auto"/>
              <w:jc w:val="left"/>
            </w:pPr>
            <w:r>
              <w:rPr>
                <w:b/>
              </w:rPr>
              <w:t>2022</w:t>
            </w:r>
          </w:p>
        </w:tc>
        <w:tc>
          <w:tcPr>
            <w:tcW w:w="0" w:type="auto"/>
            <w:shd w:val="clear" w:color="auto" w:fill="D9E1F2"/>
            <w:vAlign w:val="center"/>
          </w:tcPr>
          <w:p w:rsidR="00FF1734" w:rsidRDefault="00F7615D">
            <w:pPr>
              <w:spacing w:after="0" w:line="200" w:lineRule="auto"/>
              <w:jc w:val="left"/>
            </w:pPr>
            <w:r>
              <w:rPr>
                <w:b/>
              </w:rPr>
              <w:t>2023</w:t>
            </w:r>
          </w:p>
        </w:tc>
        <w:tc>
          <w:tcPr>
            <w:tcW w:w="0" w:type="auto"/>
            <w:shd w:val="clear" w:color="auto" w:fill="D9E1F2"/>
            <w:vAlign w:val="center"/>
          </w:tcPr>
          <w:p w:rsidR="00FF1734" w:rsidRDefault="00F7615D">
            <w:pPr>
              <w:spacing w:after="0" w:line="200" w:lineRule="auto"/>
              <w:jc w:val="left"/>
            </w:pPr>
            <w:r>
              <w:rPr>
                <w:b/>
              </w:rPr>
              <w:t>2024</w:t>
            </w:r>
          </w:p>
        </w:tc>
        <w:tc>
          <w:tcPr>
            <w:tcW w:w="0" w:type="auto"/>
            <w:shd w:val="clear" w:color="auto" w:fill="D9E1F2"/>
            <w:vAlign w:val="center"/>
          </w:tcPr>
          <w:p w:rsidR="00FF1734" w:rsidRDefault="00F7615D">
            <w:pPr>
              <w:spacing w:after="0" w:line="200" w:lineRule="auto"/>
              <w:jc w:val="left"/>
            </w:pPr>
            <w:r>
              <w:rPr>
                <w:b/>
              </w:rPr>
              <w:t>2025</w:t>
            </w:r>
          </w:p>
        </w:tc>
        <w:tc>
          <w:tcPr>
            <w:tcW w:w="0" w:type="auto"/>
            <w:shd w:val="clear" w:color="auto" w:fill="D9E1F2"/>
            <w:vAlign w:val="center"/>
          </w:tcPr>
          <w:p w:rsidR="00FF1734"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Rritja e monitorimit të fondit pyjor dhe kullosor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Numri i punonjësve për 1000 ha pyje dhe kullota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0.19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0.19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0.23</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p>
    <w:p w:rsidR="005745F5" w:rsidRDefault="00ED2D5A"/>
    <w:p w:rsidR="00681F58" w:rsidRDefault="00F7615D" w:rsidP="00681F58">
      <w:pPr>
        <w:pStyle w:val="indicatorNameStyle"/>
        <w:numPr>
          <w:ilvl w:val="0"/>
          <w:numId w:val="3"/>
        </w:numPr>
      </w:pPr>
      <w:r>
        <w:t>Rritja e monitorimit të fondit pyjor dhe kullosor</w:t>
      </w:r>
    </w:p>
    <w:p w:rsidR="00681F58" w:rsidRDefault="00ED2D5A" w:rsidP="00DC2312"/>
    <w:p w:rsidR="00D60D23" w:rsidRDefault="00F7615D" w:rsidP="00DC2312">
      <w:pPr>
        <w:pStyle w:val="indicatordescription"/>
      </w:pPr>
      <w:r>
        <w:t>Numri i punonjësve për 1000 ha pyje dhe kullota</w:t>
      </w:r>
    </w:p>
    <w:p w:rsidR="0005294B" w:rsidRDefault="00F7615D">
      <w:pPr>
        <w:pStyle w:val="NormalWeb"/>
        <w:divId w:val="951084491"/>
      </w:pPr>
      <w:r>
        <w:t xml:space="preserve">Të dhënat për bashkinë Memaliaj tregojnë një ndryshim në numrin e punonjësve për 1000 hektarë pyje dhe kullota gjatë viteve të fundit. Në </w:t>
      </w:r>
      <w:r>
        <w:rPr>
          <w:rStyle w:val="Strong"/>
          <w:rFonts w:eastAsiaTheme="majorEastAsia"/>
        </w:rPr>
        <w:t>2021</w:t>
      </w:r>
      <w:r>
        <w:t xml:space="preserve"> dhe </w:t>
      </w:r>
      <w:r>
        <w:rPr>
          <w:rStyle w:val="Strong"/>
          <w:rFonts w:eastAsiaTheme="majorEastAsia"/>
        </w:rPr>
        <w:t>2022</w:t>
      </w:r>
      <w:r>
        <w:t xml:space="preserve">, numri i punonjësve ishte konstant në </w:t>
      </w:r>
      <w:r>
        <w:rPr>
          <w:rStyle w:val="Strong"/>
          <w:rFonts w:eastAsiaTheme="majorEastAsia"/>
        </w:rPr>
        <w:t>0.19</w:t>
      </w:r>
      <w:r>
        <w:t xml:space="preserve"> punonjës për 1000 ha. Kjo tregon një qëndrueshmëri në menaxhimin dhe mbikëqyrjen e resurseve pyjore dhe kullotave për këto dy vite. Në </w:t>
      </w:r>
      <w:r>
        <w:rPr>
          <w:rStyle w:val="Strong"/>
          <w:rFonts w:eastAsiaTheme="majorEastAsia"/>
        </w:rPr>
        <w:t>2023</w:t>
      </w:r>
      <w:r>
        <w:t xml:space="preserve">, numri i punonjësve u rrit në </w:t>
      </w:r>
      <w:r>
        <w:rPr>
          <w:rStyle w:val="Strong"/>
          <w:rFonts w:eastAsiaTheme="majorEastAsia"/>
        </w:rPr>
        <w:t>0.23</w:t>
      </w:r>
      <w:r>
        <w:t xml:space="preserve">, duke reflektuar një shtim të burimeve njerëzore për këtë sektor. Ky trend rritës vazhdoi edhe për vitet pasuese,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ku numri mbeti konstant në </w:t>
      </w:r>
      <w:r>
        <w:rPr>
          <w:rStyle w:val="Strong"/>
          <w:rFonts w:eastAsiaTheme="majorEastAsia"/>
        </w:rPr>
        <w:t>0.23</w:t>
      </w:r>
      <w:r>
        <w:t xml:space="preserve">. Rritja në </w:t>
      </w:r>
      <w:r>
        <w:rPr>
          <w:rStyle w:val="Strong"/>
          <w:rFonts w:eastAsiaTheme="majorEastAsia"/>
        </w:rPr>
        <w:t>2023</w:t>
      </w:r>
      <w:r>
        <w:t xml:space="preserve"> mund të jetë indikative e ndërhyrjeve apo planeve të reja për menaxhimin më efektiv të pyjeve dhe kullotave. Vlera e qëndrueshme prej </w:t>
      </w:r>
      <w:r>
        <w:rPr>
          <w:rStyle w:val="Strong"/>
          <w:rFonts w:eastAsiaTheme="majorEastAsia"/>
        </w:rPr>
        <w:t>0.23</w:t>
      </w:r>
      <w:r>
        <w:t xml:space="preserve"> për tre vitet e mëpasme tregon një stabilitet në politikat mbështetëse të këtij sektori. Këto ndryshime mund të lidhen me nevoja rritëse për monitorim ose për përmirësime infrastrukturore. Të dhënat sugjerojnë një përkushtim të bashkisë për ruajtjen dhe menaxhimin e qëndrueshëm të burimeve të saj natyrore.</w:t>
      </w:r>
    </w:p>
    <w:p w:rsidR="00D60D23" w:rsidRDefault="00ED2D5A" w:rsidP="00681F58"/>
    <w:p w:rsidR="00822F95" w:rsidRDefault="00F7615D">
      <w:r>
        <w:rPr>
          <w:noProof/>
        </w:rPr>
        <w:lastRenderedPageBreak/>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52FA" w:rsidRDefault="00ED2D5A" w:rsidP="0030311D"/>
    <w:p w:rsidR="005D52FA" w:rsidRDefault="00ED2D5A" w:rsidP="0030311D"/>
    <w:p w:rsidR="005D52FA" w:rsidRDefault="00ED2D5A" w:rsidP="0030311D"/>
    <w:p w:rsidR="00086748" w:rsidRDefault="00ED2D5A" w:rsidP="00EE4A4A">
      <w:pPr>
        <w:pStyle w:val="pharagraphSpacing"/>
      </w:pPr>
    </w:p>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6794"/>
        <w:gridCol w:w="996"/>
        <w:gridCol w:w="996"/>
        <w:gridCol w:w="996"/>
        <w:gridCol w:w="1056"/>
        <w:gridCol w:w="1056"/>
        <w:gridCol w:w="105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FF1734" w:rsidRDefault="00F7615D">
            <w:pPr>
              <w:spacing w:after="0" w:line="200" w:lineRule="auto"/>
              <w:jc w:val="left"/>
            </w:pPr>
            <w:r>
              <w:rPr>
                <w:b/>
              </w:rPr>
              <w:t>2021</w:t>
            </w:r>
          </w:p>
        </w:tc>
        <w:tc>
          <w:tcPr>
            <w:tcW w:w="0" w:type="auto"/>
            <w:shd w:val="clear" w:color="auto" w:fill="D9E1F2"/>
            <w:vAlign w:val="center"/>
          </w:tcPr>
          <w:p w:rsidR="00FF1734" w:rsidRDefault="00F7615D">
            <w:pPr>
              <w:spacing w:after="0" w:line="200" w:lineRule="auto"/>
              <w:jc w:val="left"/>
            </w:pPr>
            <w:r>
              <w:rPr>
                <w:b/>
              </w:rPr>
              <w:t>2022</w:t>
            </w:r>
          </w:p>
        </w:tc>
        <w:tc>
          <w:tcPr>
            <w:tcW w:w="0" w:type="auto"/>
            <w:shd w:val="clear" w:color="auto" w:fill="D9E1F2"/>
            <w:vAlign w:val="center"/>
          </w:tcPr>
          <w:p w:rsidR="00FF1734" w:rsidRDefault="00F7615D">
            <w:pPr>
              <w:spacing w:after="0" w:line="200" w:lineRule="auto"/>
              <w:jc w:val="left"/>
            </w:pPr>
            <w:r>
              <w:rPr>
                <w:b/>
              </w:rPr>
              <w:t>2023</w:t>
            </w:r>
          </w:p>
        </w:tc>
        <w:tc>
          <w:tcPr>
            <w:tcW w:w="0" w:type="auto"/>
            <w:shd w:val="clear" w:color="auto" w:fill="D9E1F2"/>
            <w:vAlign w:val="center"/>
          </w:tcPr>
          <w:p w:rsidR="00FF1734" w:rsidRDefault="00F7615D">
            <w:pPr>
              <w:spacing w:after="0" w:line="200" w:lineRule="auto"/>
              <w:jc w:val="left"/>
            </w:pPr>
            <w:r>
              <w:rPr>
                <w:b/>
              </w:rPr>
              <w:t>2024</w:t>
            </w:r>
          </w:p>
        </w:tc>
        <w:tc>
          <w:tcPr>
            <w:tcW w:w="0" w:type="auto"/>
            <w:shd w:val="clear" w:color="auto" w:fill="D9E1F2"/>
            <w:vAlign w:val="center"/>
          </w:tcPr>
          <w:p w:rsidR="00FF1734" w:rsidRDefault="00F7615D">
            <w:pPr>
              <w:spacing w:after="0" w:line="200" w:lineRule="auto"/>
              <w:jc w:val="left"/>
            </w:pPr>
            <w:r>
              <w:rPr>
                <w:b/>
              </w:rPr>
              <w:t>2025</w:t>
            </w:r>
          </w:p>
        </w:tc>
        <w:tc>
          <w:tcPr>
            <w:tcW w:w="0" w:type="auto"/>
            <w:shd w:val="clear" w:color="auto" w:fill="D9E1F2"/>
            <w:vAlign w:val="center"/>
          </w:tcPr>
          <w:p w:rsidR="00FF1734"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totale e fondit pyjor dhe kullosor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21344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Numri i punonjësve për menaxhimin pyjeve dhe kullotave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Lera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Ngastra të identifikuara për pastrim dhe nxjerrjen e materialit drusor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Sipërfaqja e fondit pyjor dhe kullosor e mbuluar me plane mbarështimi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Projekte të hartuara për pastrim dhe nxjerrjen e materialit drusor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kullosore e dhënë me qira(në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1054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pyjore e dhënë me qira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568</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totale e fondit kullosor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11313.1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totale e fondit pyjor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10030.9</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Sipërfaqe pyjore dhe kullosore e dhënë me qira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1622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Të ardhura nga qiratë e pyjeve dhe kullotave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755000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755000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756000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Të ardhura nga tarifa për pyjet dhe kullotat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1000000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Numri i pemëve të reja të mbjellura në fondin pyjor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400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350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FF1734" w:rsidRDefault="00F7615D">
            <w:pPr>
              <w:spacing w:after="0" w:line="240" w:lineRule="auto"/>
            </w:pPr>
            <w:r>
              <w:t>0</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395608" w:rsidRPr="00395608" w:rsidRDefault="00F7615D" w:rsidP="009E0349">
      <w:pPr>
        <w:pStyle w:val="sherbimiHeader1"/>
        <w:ind w:firstLine="720"/>
      </w:pPr>
      <w:bookmarkStart w:id="35" w:name="_Toc213857413"/>
      <w:r>
        <w:lastRenderedPageBreak/>
        <w:t>Mbrojtja nga zjarri dhe mbrojtja civile</w:t>
      </w:r>
      <w:bookmarkEnd w:id="35"/>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Funksioni i menaxhimit të shërbimit të Mbrojtjes nga Zjarri dhe Shpëtimi iu transferua Njësive të Vetëqeverisjes Vendore në vitin 2016. Në kuadër të Reformës Administrative-Territoriale, deri në fund të vitit 2018 u ngritën stacionet zjarrfikëse në çdo bashki, secili me një strukturë minimale prej 14 punonjësish. Analiza e këtij shërbimi mbështetet kryesisht në dy tregues kryesorë: numrin e zjarrfikësve për çdo 1.500 banorë dhe numrin e automjeteve zjarrfikëse për çdo 10.000 banorë. Në nivel kombëtar, raporti aktual është afërsisht një zjarrfikës për 1.500 banorë. Një tendencë e ngjashme vërehet edhe në aspektin e mjeteve zjarrfikëse, ku disponueshmëria e tyre bie në raport me rritjen e madhësisë së bashkive. Bashkia është përgjegjëse për të siguruar funksionimin e njësive zjarrfikëse dhe shërbimeve të tjera të parandalimit dhe mbrojtjes kundër zjarrit, shërbimet e mbrojtjes civile, si shpëtimet malore, vrojtimi i plazheve, evakuimi i zonave të përmbytura etj, si dhe rritjen e kapaciteteve të punonjësve dhe ndërgjegjësimit në komunitet përmes programeve trajnuese të parandalimit dhe mbrojtjes kundër zjarrit.</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5888"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4" type="#_x0000_t202" style="position:absolute;left:0;text-align:left;margin-left:.7pt;margin-top:21pt;width:471.75pt;height:20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" filled="f" stroked="f">
                <v:textbox>
                  <w:txbxContent>
                    <w:p w:rsidR="00925CDB" w:rsidRDefault="00F7615D">
                      <w:r>
                        <w:rPr>
                          <w:noProof/>
                        </w:rPr>
                        <w:drawing>
                          <wp:inline distT="0" distB="0" distL="0" distR="0" wp14:editId="50D07946">
                            <wp:extent cx="5800000" cy="24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575"/>
        <w:gridCol w:w="3603"/>
        <w:gridCol w:w="1236"/>
        <w:gridCol w:w="1236"/>
        <w:gridCol w:w="936"/>
        <w:gridCol w:w="936"/>
        <w:gridCol w:w="1236"/>
        <w:gridCol w:w="1192"/>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D30BB9" w:rsidRDefault="00F7615D">
            <w:pPr>
              <w:spacing w:after="0" w:line="200" w:lineRule="auto"/>
              <w:jc w:val="left"/>
            </w:pPr>
            <w:r>
              <w:rPr>
                <w:b/>
              </w:rPr>
              <w:t>Përshkrim</w:t>
            </w:r>
          </w:p>
        </w:tc>
        <w:tc>
          <w:tcPr>
            <w:tcW w:w="0" w:type="auto"/>
            <w:shd w:val="clear" w:color="auto" w:fill="D9E1F2"/>
            <w:vAlign w:val="center"/>
          </w:tcPr>
          <w:p w:rsidR="00D30BB9" w:rsidRDefault="00F7615D">
            <w:pPr>
              <w:spacing w:after="0" w:line="200" w:lineRule="auto"/>
              <w:jc w:val="left"/>
            </w:pPr>
            <w:r>
              <w:rPr>
                <w:b/>
              </w:rPr>
              <w:t>2021</w:t>
            </w:r>
          </w:p>
        </w:tc>
        <w:tc>
          <w:tcPr>
            <w:tcW w:w="0" w:type="auto"/>
            <w:shd w:val="clear" w:color="auto" w:fill="D9E1F2"/>
            <w:vAlign w:val="center"/>
          </w:tcPr>
          <w:p w:rsidR="00D30BB9" w:rsidRDefault="00F7615D">
            <w:pPr>
              <w:spacing w:after="0" w:line="200" w:lineRule="auto"/>
              <w:jc w:val="left"/>
            </w:pPr>
            <w:r>
              <w:rPr>
                <w:b/>
              </w:rPr>
              <w:t>2022</w:t>
            </w:r>
          </w:p>
        </w:tc>
        <w:tc>
          <w:tcPr>
            <w:tcW w:w="0" w:type="auto"/>
            <w:shd w:val="clear" w:color="auto" w:fill="D9E1F2"/>
            <w:vAlign w:val="center"/>
          </w:tcPr>
          <w:p w:rsidR="00D30BB9" w:rsidRDefault="00F7615D">
            <w:pPr>
              <w:spacing w:after="0" w:line="200" w:lineRule="auto"/>
              <w:jc w:val="left"/>
            </w:pPr>
            <w:r>
              <w:rPr>
                <w:b/>
              </w:rPr>
              <w:t>2023</w:t>
            </w:r>
          </w:p>
        </w:tc>
        <w:tc>
          <w:tcPr>
            <w:tcW w:w="0" w:type="auto"/>
            <w:shd w:val="clear" w:color="auto" w:fill="D9E1F2"/>
            <w:vAlign w:val="center"/>
          </w:tcPr>
          <w:p w:rsidR="00D30BB9" w:rsidRDefault="00F7615D">
            <w:pPr>
              <w:spacing w:after="0" w:line="200" w:lineRule="auto"/>
              <w:jc w:val="left"/>
            </w:pPr>
            <w:r>
              <w:rPr>
                <w:b/>
              </w:rPr>
              <w:t>2024</w:t>
            </w:r>
          </w:p>
        </w:tc>
        <w:tc>
          <w:tcPr>
            <w:tcW w:w="0" w:type="auto"/>
            <w:shd w:val="clear" w:color="auto" w:fill="D9E1F2"/>
            <w:vAlign w:val="center"/>
          </w:tcPr>
          <w:p w:rsidR="00D30BB9" w:rsidRDefault="00F7615D">
            <w:pPr>
              <w:spacing w:after="0" w:line="200" w:lineRule="auto"/>
              <w:jc w:val="left"/>
            </w:pPr>
            <w:r>
              <w:rPr>
                <w:b/>
              </w:rPr>
              <w:t>2025</w:t>
            </w:r>
          </w:p>
        </w:tc>
        <w:tc>
          <w:tcPr>
            <w:tcW w:w="0" w:type="auto"/>
            <w:shd w:val="clear" w:color="auto" w:fill="D9E1F2"/>
            <w:vAlign w:val="center"/>
          </w:tcPr>
          <w:p w:rsidR="00D30BB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Efiçienca buxhetore në ofrimin e shërbimit MZSH</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Total shpenzime për MZSH kundrejt totalit të rasteve të menaxhuara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396419.35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228745.26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269340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277160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309777.78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311111.11</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894"/>
        <w:gridCol w:w="1176"/>
        <w:gridCol w:w="1176"/>
        <w:gridCol w:w="1176"/>
        <w:gridCol w:w="1176"/>
        <w:gridCol w:w="1176"/>
        <w:gridCol w:w="117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D30BB9" w:rsidRDefault="00F7615D">
            <w:pPr>
              <w:spacing w:after="0" w:line="200" w:lineRule="auto"/>
              <w:jc w:val="left"/>
            </w:pPr>
            <w:r>
              <w:rPr>
                <w:b/>
              </w:rPr>
              <w:t>2021</w:t>
            </w:r>
          </w:p>
        </w:tc>
        <w:tc>
          <w:tcPr>
            <w:tcW w:w="0" w:type="auto"/>
            <w:shd w:val="clear" w:color="auto" w:fill="D9E1F2"/>
            <w:vAlign w:val="center"/>
          </w:tcPr>
          <w:p w:rsidR="00D30BB9" w:rsidRDefault="00F7615D">
            <w:pPr>
              <w:spacing w:after="0" w:line="200" w:lineRule="auto"/>
              <w:jc w:val="left"/>
            </w:pPr>
            <w:r>
              <w:rPr>
                <w:b/>
              </w:rPr>
              <w:t>2022</w:t>
            </w:r>
          </w:p>
        </w:tc>
        <w:tc>
          <w:tcPr>
            <w:tcW w:w="0" w:type="auto"/>
            <w:shd w:val="clear" w:color="auto" w:fill="D9E1F2"/>
            <w:vAlign w:val="center"/>
          </w:tcPr>
          <w:p w:rsidR="00D30BB9" w:rsidRDefault="00F7615D">
            <w:pPr>
              <w:spacing w:after="0" w:line="200" w:lineRule="auto"/>
              <w:jc w:val="left"/>
            </w:pPr>
            <w:r>
              <w:rPr>
                <w:b/>
              </w:rPr>
              <w:t>2023</w:t>
            </w:r>
          </w:p>
        </w:tc>
        <w:tc>
          <w:tcPr>
            <w:tcW w:w="0" w:type="auto"/>
            <w:shd w:val="clear" w:color="auto" w:fill="D9E1F2"/>
            <w:vAlign w:val="center"/>
          </w:tcPr>
          <w:p w:rsidR="00D30BB9" w:rsidRDefault="00F7615D">
            <w:pPr>
              <w:spacing w:after="0" w:line="200" w:lineRule="auto"/>
              <w:jc w:val="left"/>
            </w:pPr>
            <w:r>
              <w:rPr>
                <w:b/>
              </w:rPr>
              <w:t>2024</w:t>
            </w:r>
          </w:p>
        </w:tc>
        <w:tc>
          <w:tcPr>
            <w:tcW w:w="0" w:type="auto"/>
            <w:shd w:val="clear" w:color="auto" w:fill="D9E1F2"/>
            <w:vAlign w:val="center"/>
          </w:tcPr>
          <w:p w:rsidR="00D30BB9" w:rsidRDefault="00F7615D">
            <w:pPr>
              <w:spacing w:after="0" w:line="200" w:lineRule="auto"/>
              <w:jc w:val="left"/>
            </w:pPr>
            <w:r>
              <w:rPr>
                <w:b/>
              </w:rPr>
              <w:t>2025</w:t>
            </w:r>
          </w:p>
        </w:tc>
        <w:tc>
          <w:tcPr>
            <w:tcW w:w="0" w:type="auto"/>
            <w:shd w:val="clear" w:color="auto" w:fill="D9E1F2"/>
            <w:vAlign w:val="center"/>
          </w:tcPr>
          <w:p w:rsidR="00D30BB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Punonjës të mbrojtjes nga zjarri dhe shpëtimi</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makinave zjarrfikëse në punë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Zjarrëfikës në dispozicion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stacioneve MSZH</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Sipërfaqja gjithësej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372.07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total i certifikatave të lëshuara për mzsh për subjektet private dhe shtetërore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automjeteve në funksion të mbrojtjes nga zjarri dhe shpëtimi</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pikave të rrezikut nga përmbytjet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8</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pikave të rrezikut nga zjarret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total i popullsisë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20128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20150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Sipërfaqja e mbuluar me shërbimin e fikjes së zjarrit dhe shpëtimit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Total shpenzime për mzsh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12289000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13038480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13467000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13858000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13940000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14000000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thirrjeve nga popullata drejt shërbimit zjarrfikës</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98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152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130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I kontrolleve vjetore për certifikimin për mzsh I objekteve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Sipërfaqja e zonave të banuara që përmbyten në vit në ha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lastRenderedPageBreak/>
              <w:t>Numri i familjeve të dëmtuara nga fatkeqësitë natyrore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Numri total i akteve teknike për shfrytëzim të lëshuara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Koha e daljes nga stacioni ditën (në sekonda)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Koha e daljes nga stacioni natën (në sekonda)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Mësime treguese për përballimin e rasteve të zjarrit në shkolla, institucione publike, etj</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Inspektime tek të tretët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Raste të menaxhuara për shuarjen e zjarrit dhe shpëtimit nga MZSH</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Fikese zjarri te kolauduara dhe te vendosura ne institucioine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64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75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Koha e daljes nga stacioni (në sekonda) (mesatarja ditën dhe natën)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D30BB9" w:rsidRDefault="00F7615D">
            <w:pPr>
              <w:spacing w:after="0" w:line="240" w:lineRule="auto"/>
            </w:pPr>
            <w:r>
              <w:t>40</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Numri total i popullsisë</w:t>
      </w:r>
    </w:p>
    <w:p w:rsidR="001F32AA" w:rsidRDefault="00ED2D5A" w:rsidP="006A3D44"/>
    <w:p w:rsidR="0005294B" w:rsidRDefault="00F7615D">
      <w:pPr>
        <w:pStyle w:val="NormalWeb"/>
        <w:divId w:val="1357461499"/>
      </w:pPr>
      <w:r>
        <w:t xml:space="preserve">Të dhënat e popullsisë për bashkinë Memaliaj tregojnë një stabilitet të përgjithshëm në numrin e banorëve me disa luhatje të vogla midis viteve </w:t>
      </w:r>
      <w:r>
        <w:rPr>
          <w:rStyle w:val="Strong"/>
          <w:rFonts w:eastAsiaTheme="majorEastAsia"/>
        </w:rPr>
        <w:t>2021</w:t>
      </w:r>
      <w:r>
        <w:t xml:space="preserve"> dhe </w:t>
      </w:r>
      <w:r>
        <w:rPr>
          <w:rStyle w:val="Strong"/>
          <w:rFonts w:eastAsiaTheme="majorEastAsia"/>
        </w:rPr>
        <w:t>2026</w:t>
      </w:r>
      <w:r>
        <w:t xml:space="preserve">. Në vitin </w:t>
      </w:r>
      <w:r>
        <w:rPr>
          <w:rStyle w:val="Strong"/>
          <w:rFonts w:eastAsiaTheme="majorEastAsia"/>
        </w:rPr>
        <w:t>2021</w:t>
      </w:r>
      <w:r>
        <w:t xml:space="preserve">, popullsia e regjistruar ishte </w:t>
      </w:r>
      <w:r>
        <w:rPr>
          <w:rStyle w:val="Strong"/>
          <w:rFonts w:eastAsiaTheme="majorEastAsia"/>
        </w:rPr>
        <w:t>20,128</w:t>
      </w:r>
      <w:r>
        <w:t xml:space="preserve"> banorë. Ky numër pëson një ulje të lehtë në vitin </w:t>
      </w:r>
      <w:r>
        <w:rPr>
          <w:rStyle w:val="Strong"/>
          <w:rFonts w:eastAsiaTheme="majorEastAsia"/>
        </w:rPr>
        <w:t>2022</w:t>
      </w:r>
      <w:r>
        <w:t xml:space="preserve">, që regjistrohet si </w:t>
      </w:r>
      <w:r>
        <w:rPr>
          <w:rStyle w:val="Strong"/>
          <w:rFonts w:eastAsiaTheme="majorEastAsia"/>
        </w:rPr>
        <w:t>20,100</w:t>
      </w:r>
      <w:r>
        <w:t xml:space="preserve"> banorë. Viti </w:t>
      </w:r>
      <w:r>
        <w:rPr>
          <w:rStyle w:val="Strong"/>
          <w:rFonts w:eastAsiaTheme="majorEastAsia"/>
        </w:rPr>
        <w:t>2023</w:t>
      </w:r>
      <w:r>
        <w:t xml:space="preserve"> ruan të njëjtin nivel si </w:t>
      </w:r>
      <w:r>
        <w:rPr>
          <w:rStyle w:val="Strong"/>
          <w:rFonts w:eastAsiaTheme="majorEastAsia"/>
        </w:rPr>
        <w:t>2022</w:t>
      </w:r>
      <w:r>
        <w:t xml:space="preserve">, me po </w:t>
      </w:r>
      <w:r>
        <w:rPr>
          <w:rStyle w:val="Strong"/>
          <w:rFonts w:eastAsiaTheme="majorEastAsia"/>
        </w:rPr>
        <w:t>20,100</w:t>
      </w:r>
      <w:r>
        <w:t xml:space="preserve"> banorë. Në vitin </w:t>
      </w:r>
      <w:r>
        <w:rPr>
          <w:rStyle w:val="Strong"/>
          <w:rFonts w:eastAsiaTheme="majorEastAsia"/>
        </w:rPr>
        <w:t>2024</w:t>
      </w:r>
      <w:r>
        <w:t xml:space="preserve">, vërehet një rritje e vogël, duke u rritur për të arritur numrin </w:t>
      </w:r>
      <w:r>
        <w:rPr>
          <w:rStyle w:val="Strong"/>
          <w:rFonts w:eastAsiaTheme="majorEastAsia"/>
        </w:rPr>
        <w:t>20,150</w:t>
      </w:r>
      <w:r>
        <w:t xml:space="preserve"> banorë. Ky numër mbetet konstant për dy vitet pasardhëse, </w:t>
      </w:r>
      <w:r>
        <w:rPr>
          <w:rStyle w:val="Strong"/>
          <w:rFonts w:eastAsiaTheme="majorEastAsia"/>
        </w:rPr>
        <w:t>2025</w:t>
      </w:r>
      <w:r>
        <w:t xml:space="preserve"> dhe </w:t>
      </w:r>
      <w:r>
        <w:rPr>
          <w:rStyle w:val="Strong"/>
          <w:rFonts w:eastAsiaTheme="majorEastAsia"/>
        </w:rPr>
        <w:t>2026</w:t>
      </w:r>
      <w:r>
        <w:t xml:space="preserve">, duke treguar stabilitet në popullsinë e bashkisë me </w:t>
      </w:r>
      <w:r>
        <w:rPr>
          <w:rStyle w:val="Strong"/>
          <w:rFonts w:eastAsiaTheme="majorEastAsia"/>
        </w:rPr>
        <w:t>20,150</w:t>
      </w:r>
      <w:r>
        <w:t xml:space="preserve"> banorë. Trendi i këtyre të dhënave sugjeron se Memaliaj ka një model të popullsisë që është tërësisht i qëndrueshëm gjatë këtyre viteve, me një rritje dhe ulje të vogël, që është zakonisht në intervalin e analizuar. Ky model i qëndrueshëm mund të reflektojë faktorë si migracioni, lindshmëria dhe ekonomia lokale që ndikojnë lehtë në ndryshimet e popullsisë. Për bashkinë, ky është informacion i rëndësishëm për planifikimin e infrastrukturës dhe shërbimeve publike. Në përgjithësi, këto të dhëna mund të përdoren për të krahasuar tendencat demografike në rajone të ndryshme.</w:t>
      </w:r>
    </w:p>
    <w:p w:rsidR="00273E47" w:rsidRDefault="00ED2D5A" w:rsidP="001F32AA"/>
    <w:p w:rsidR="005745F5" w:rsidRDefault="00F7615D">
      <w:r>
        <w:rPr>
          <w:noProof/>
        </w:rPr>
        <w:drawing>
          <wp:inline distT="0" distB="0" distL="0" distR="0">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32AA" w:rsidRDefault="00F7615D" w:rsidP="001F32AA">
      <w:pPr>
        <w:pStyle w:val="dataNameStyle"/>
      </w:pPr>
      <w:r>
        <w:lastRenderedPageBreak/>
        <w:t>Total shpenzime për mzsh (në lekë)</w:t>
      </w:r>
    </w:p>
    <w:p w:rsidR="001F32AA" w:rsidRDefault="00ED2D5A" w:rsidP="006A3D44"/>
    <w:p w:rsidR="0005294B" w:rsidRDefault="00F7615D">
      <w:pPr>
        <w:pStyle w:val="NormalWeb"/>
        <w:divId w:val="1002396256"/>
      </w:pPr>
      <w:r>
        <w:t xml:space="preserve">Të dhënat e bashkisë Memaliaj për shpenzimet totale për MZSH gjatë viteve të fundit tregojnë një trend në rritje të qëndrueshme. Në vitin </w:t>
      </w:r>
      <w:r>
        <w:rPr>
          <w:rStyle w:val="Strong"/>
          <w:rFonts w:eastAsiaTheme="majorEastAsia"/>
        </w:rPr>
        <w:t>2021</w:t>
      </w:r>
      <w:r>
        <w:t xml:space="preserve">, shpenzimet ishin </w:t>
      </w:r>
      <w:r>
        <w:rPr>
          <w:rStyle w:val="Strong"/>
          <w:rFonts w:eastAsiaTheme="majorEastAsia"/>
        </w:rPr>
        <w:t>12,289,000</w:t>
      </w:r>
      <w:r>
        <w:t xml:space="preserve"> lekë. Ndërsa në vitin </w:t>
      </w:r>
      <w:r>
        <w:rPr>
          <w:rStyle w:val="Strong"/>
          <w:rFonts w:eastAsiaTheme="majorEastAsia"/>
        </w:rPr>
        <w:t>2022</w:t>
      </w:r>
      <w:r>
        <w:t xml:space="preserve">, pati një rritje duke arritur në </w:t>
      </w:r>
      <w:r>
        <w:rPr>
          <w:rStyle w:val="Strong"/>
          <w:rFonts w:eastAsiaTheme="majorEastAsia"/>
        </w:rPr>
        <w:t>13,038,480</w:t>
      </w:r>
      <w:r>
        <w:t xml:space="preserve"> lekë. Më pas, në vitin </w:t>
      </w:r>
      <w:r>
        <w:rPr>
          <w:rStyle w:val="Strong"/>
          <w:rFonts w:eastAsiaTheme="majorEastAsia"/>
        </w:rPr>
        <w:t>2023</w:t>
      </w:r>
      <w:r>
        <w:t xml:space="preserve">, shpenzimet u rritën sërish në </w:t>
      </w:r>
      <w:r>
        <w:rPr>
          <w:rStyle w:val="Strong"/>
          <w:rFonts w:eastAsiaTheme="majorEastAsia"/>
        </w:rPr>
        <w:t>13,467,000</w:t>
      </w:r>
      <w:r>
        <w:t xml:space="preserve"> lekë. Parashikimet për vitin </w:t>
      </w:r>
      <w:r>
        <w:rPr>
          <w:rStyle w:val="Strong"/>
          <w:rFonts w:eastAsiaTheme="majorEastAsia"/>
        </w:rPr>
        <w:t>2024</w:t>
      </w:r>
      <w:r>
        <w:t xml:space="preserve"> tregojnë një rritje në </w:t>
      </w:r>
      <w:r>
        <w:rPr>
          <w:rStyle w:val="Strong"/>
          <w:rFonts w:eastAsiaTheme="majorEastAsia"/>
        </w:rPr>
        <w:t>13,858,000</w:t>
      </w:r>
      <w:r>
        <w:t xml:space="preserve"> lekë. Për vitin </w:t>
      </w:r>
      <w:r>
        <w:rPr>
          <w:rStyle w:val="Strong"/>
          <w:rFonts w:eastAsiaTheme="majorEastAsia"/>
        </w:rPr>
        <w:t>2025</w:t>
      </w:r>
      <w:r>
        <w:t xml:space="preserve">, është planifikuar që shpenzimet të arrijnë në </w:t>
      </w:r>
      <w:r>
        <w:rPr>
          <w:rStyle w:val="Strong"/>
          <w:rFonts w:eastAsiaTheme="majorEastAsia"/>
        </w:rPr>
        <w:t>13,940,000</w:t>
      </w:r>
      <w:r>
        <w:t xml:space="preserve"> lekë. Ndërsa për vitin </w:t>
      </w:r>
      <w:r>
        <w:rPr>
          <w:rStyle w:val="Strong"/>
          <w:rFonts w:eastAsiaTheme="majorEastAsia"/>
        </w:rPr>
        <w:t>2026</w:t>
      </w:r>
      <w:r>
        <w:t xml:space="preserve">, shpenzimet pritet të jenë </w:t>
      </w:r>
      <w:r>
        <w:rPr>
          <w:rStyle w:val="Strong"/>
          <w:rFonts w:eastAsiaTheme="majorEastAsia"/>
        </w:rPr>
        <w:t>14,000,000</w:t>
      </w:r>
      <w:r>
        <w:t xml:space="preserve"> lekë. Këto shifra pasqyrojnë një rritje graduale dhe të qëndrueshme në buxhetin e dedikuar për MZSH. Kjo rritje mund të tregojë një prioritet të shtuar për shërbimet publike dhe menaxhimin e emergjencave në zonë. Nga </w:t>
      </w:r>
      <w:r>
        <w:rPr>
          <w:rStyle w:val="Strong"/>
          <w:rFonts w:eastAsiaTheme="majorEastAsia"/>
        </w:rPr>
        <w:t>2021</w:t>
      </w:r>
      <w:r>
        <w:t xml:space="preserve"> deri në </w:t>
      </w:r>
      <w:r>
        <w:rPr>
          <w:rStyle w:val="Strong"/>
          <w:rFonts w:eastAsiaTheme="majorEastAsia"/>
        </w:rPr>
        <w:t>2026</w:t>
      </w:r>
      <w:r>
        <w:t xml:space="preserve">, vlera totale e shpenzimeve është rritur me </w:t>
      </w:r>
      <w:r>
        <w:rPr>
          <w:rStyle w:val="Strong"/>
          <w:rFonts w:eastAsiaTheme="majorEastAsia"/>
        </w:rPr>
        <w:t>1,711,000</w:t>
      </w:r>
      <w:r>
        <w:t xml:space="preserve"> lekë. Këto të dhëna theksojnë progresin e vazhdueshëm në alokimin e burimeve financiare për nevoja të ndryshme infrastrukturore dhe operacionale në bashkinë Memaliaj.</w:t>
      </w:r>
    </w:p>
    <w:p w:rsidR="00273E47" w:rsidRDefault="00ED2D5A" w:rsidP="001F32AA"/>
    <w:p w:rsidR="00ED5A1B" w:rsidRDefault="00F7615D" w:rsidP="001F32AA">
      <w:r>
        <w:rPr>
          <w:noProof/>
        </w:rPr>
        <w:drawing>
          <wp:inline distT="0" distB="0" distL="0" distR="0">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52FA" w:rsidRDefault="00ED2D5A" w:rsidP="0030311D"/>
    <w:p w:rsidR="005745F5" w:rsidRDefault="00ED2D5A"/>
    <w:p w:rsidR="00FC041B" w:rsidRDefault="00FC041B"/>
    <w:p w:rsidR="001F32AA" w:rsidRDefault="00F7615D" w:rsidP="001F32AA">
      <w:pPr>
        <w:pStyle w:val="dataNameStyle"/>
      </w:pPr>
      <w:r>
        <w:lastRenderedPageBreak/>
        <w:t>Raste të menaxhuara për shuarjen e zjarrit dhe shpëtimit nga MZSH</w:t>
      </w:r>
    </w:p>
    <w:p w:rsidR="001F32AA" w:rsidRDefault="00ED2D5A" w:rsidP="006A3D44"/>
    <w:p w:rsidR="0005294B" w:rsidRDefault="00F7615D">
      <w:pPr>
        <w:pStyle w:val="NormalWeb"/>
        <w:divId w:val="182016813"/>
      </w:pPr>
      <w:r>
        <w:t xml:space="preserve">Në Bashkinë e Memaliaj, </w:t>
      </w:r>
      <w:r>
        <w:rPr>
          <w:rStyle w:val="Strong"/>
          <w:rFonts w:eastAsiaTheme="majorEastAsia"/>
        </w:rPr>
        <w:t>raste të menaxhuara për shuarjen e zjarrit dhe shpëtimit nga MZSH</w:t>
      </w:r>
      <w:r>
        <w:t xml:space="preserve"> kanë treguar variacion në periudhën 2021-2026. Në vitin </w:t>
      </w:r>
      <w:r>
        <w:rPr>
          <w:rStyle w:val="Strong"/>
          <w:rFonts w:eastAsiaTheme="majorEastAsia"/>
        </w:rPr>
        <w:t>2021</w:t>
      </w:r>
      <w:r>
        <w:t xml:space="preserve">, u regjistruan </w:t>
      </w:r>
      <w:r>
        <w:rPr>
          <w:rStyle w:val="Strong"/>
          <w:rFonts w:eastAsiaTheme="majorEastAsia"/>
        </w:rPr>
        <w:t>31</w:t>
      </w:r>
      <w:r>
        <w:t xml:space="preserve"> raste, duke shfaqur një aktivitet më të ulët në krahasim me vitet pasuese. Gjatë </w:t>
      </w:r>
      <w:r>
        <w:rPr>
          <w:rStyle w:val="Strong"/>
          <w:rFonts w:eastAsiaTheme="majorEastAsia"/>
        </w:rPr>
        <w:t>2022</w:t>
      </w:r>
      <w:r>
        <w:t xml:space="preserve">, u vu re një rritje e ndjeshme, me </w:t>
      </w:r>
      <w:r>
        <w:rPr>
          <w:rStyle w:val="Strong"/>
          <w:rFonts w:eastAsiaTheme="majorEastAsia"/>
        </w:rPr>
        <w:t>57</w:t>
      </w:r>
      <w:r>
        <w:t xml:space="preserve"> raste, duke reflektuar ndoshta rritjen e incidenteve ose përmirësimin e raportimit dhe menaxhimit. Në </w:t>
      </w:r>
      <w:r>
        <w:rPr>
          <w:rStyle w:val="Strong"/>
          <w:rFonts w:eastAsiaTheme="majorEastAsia"/>
        </w:rPr>
        <w:t>2023</w:t>
      </w:r>
      <w:r>
        <w:t xml:space="preserve"> dhe </w:t>
      </w:r>
      <w:r>
        <w:rPr>
          <w:rStyle w:val="Strong"/>
          <w:rFonts w:eastAsiaTheme="majorEastAsia"/>
        </w:rPr>
        <w:t>2024</w:t>
      </w:r>
      <w:r>
        <w:t xml:space="preserve">, numri i rasteve ishte i qëndrueshëm, me </w:t>
      </w:r>
      <w:r>
        <w:rPr>
          <w:rStyle w:val="Strong"/>
          <w:rFonts w:eastAsiaTheme="majorEastAsia"/>
        </w:rPr>
        <w:t>50</w:t>
      </w:r>
      <w:r>
        <w:t xml:space="preserve"> raste për secilin vit. Kjo tregon një stabilizim të situatës pas rritjes së konsiderueshme të vitit 2022. Në </w:t>
      </w:r>
      <w:r>
        <w:rPr>
          <w:rStyle w:val="Strong"/>
          <w:rFonts w:eastAsiaTheme="majorEastAsia"/>
        </w:rPr>
        <w:t>2025</w:t>
      </w:r>
      <w:r>
        <w:t xml:space="preserve"> dhe </w:t>
      </w:r>
      <w:r>
        <w:rPr>
          <w:rStyle w:val="Strong"/>
          <w:rFonts w:eastAsiaTheme="majorEastAsia"/>
        </w:rPr>
        <w:t>2026</w:t>
      </w:r>
      <w:r>
        <w:t xml:space="preserve">, numri i rasteve u ul në </w:t>
      </w:r>
      <w:r>
        <w:rPr>
          <w:rStyle w:val="Strong"/>
          <w:rFonts w:eastAsiaTheme="majorEastAsia"/>
        </w:rPr>
        <w:t>45</w:t>
      </w:r>
      <w:r>
        <w:t>, duke sugjeruar një efektivitet më të madh në menaxhimin e zjarreve ose një ulje të incidenteve. Ky trend në ulje mund të lidhet me masat parandaluese ose përmirësimet në infrastrukturën e zjarrfikësve. Përgjithësisht, MZSH në Memaliaj ka treguar një kapacitet për t'iu përgjigjur sfidave të zjarrit dhe shpëtimit çdo vit. Të dhënat e paraqitura ndihmojnë në kuptimin e qëndrueshmërisë dhe aftësisë reaguese të shërbimit për menaxhimin e zjarreve në këtë rajon. Strategjitë e përshtatshme transportuese dhe trajnimi i vazhdueshëm janë thelbësore për mbështetjen e këtij trendi pozitiv në vitet e ardhshme.</w:t>
      </w:r>
    </w:p>
    <w:p w:rsidR="00273E47" w:rsidRDefault="00ED2D5A" w:rsidP="001F32AA"/>
    <w:p w:rsidR="00ED5A1B" w:rsidRDefault="00F7615D" w:rsidP="001F32AA">
      <w:r>
        <w:rPr>
          <w:noProof/>
        </w:rPr>
        <w:drawing>
          <wp:inline distT="0" distB="0" distL="0" distR="0">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52FA" w:rsidRDefault="00ED2D5A" w:rsidP="0030311D"/>
    <w:p w:rsidR="005745F5" w:rsidRDefault="00ED2D5A"/>
    <w:p w:rsidR="001F32AA" w:rsidRDefault="00F7615D" w:rsidP="001F32AA">
      <w:pPr>
        <w:pStyle w:val="dataNameStyle"/>
      </w:pPr>
      <w:r>
        <w:lastRenderedPageBreak/>
        <w:t>Fikese zjarri te kolauduara dhe te vendosura ne institucioine</w:t>
      </w:r>
    </w:p>
    <w:p w:rsidR="001F32AA" w:rsidRDefault="00ED2D5A" w:rsidP="006A3D44"/>
    <w:p w:rsidR="0005294B" w:rsidRDefault="00F7615D">
      <w:pPr>
        <w:pStyle w:val="NormalWeb"/>
        <w:divId w:val="2094742071"/>
      </w:pPr>
      <w:r>
        <w:t xml:space="preserve">Në Bashkinë e Memaliajt, të dhënat për fikëset e zjarrit të kolauduara dhe të vendosura në institucione tregojnë një trend të qëndrueshëm dhe më pas në rritje. Në vitin </w:t>
      </w:r>
      <w:r>
        <w:rPr>
          <w:rStyle w:val="Strong"/>
          <w:rFonts w:eastAsiaTheme="majorEastAsia"/>
        </w:rPr>
        <w:t>2021</w:t>
      </w:r>
      <w:r>
        <w:t xml:space="preserve">, numri i fikëseve të zjarrit ishte </w:t>
      </w:r>
      <w:r>
        <w:rPr>
          <w:rStyle w:val="Strong"/>
          <w:rFonts w:eastAsiaTheme="majorEastAsia"/>
        </w:rPr>
        <w:t>64</w:t>
      </w:r>
      <w:r>
        <w:t xml:space="preserve">. Kjo vlerë mbeti e pandryshuar në vitin </w:t>
      </w:r>
      <w:r>
        <w:rPr>
          <w:rStyle w:val="Strong"/>
          <w:rFonts w:eastAsiaTheme="majorEastAsia"/>
        </w:rPr>
        <w:t>2022</w:t>
      </w:r>
      <w:r>
        <w:t xml:space="preserve"> dhe </w:t>
      </w:r>
      <w:r>
        <w:rPr>
          <w:rStyle w:val="Strong"/>
          <w:rFonts w:eastAsiaTheme="majorEastAsia"/>
        </w:rPr>
        <w:t>2023</w:t>
      </w:r>
      <w:r>
        <w:t xml:space="preserve">, me gjithsej </w:t>
      </w:r>
      <w:r>
        <w:rPr>
          <w:rStyle w:val="Strong"/>
          <w:rFonts w:eastAsiaTheme="majorEastAsia"/>
        </w:rPr>
        <w:t>64</w:t>
      </w:r>
      <w:r>
        <w:t xml:space="preserve"> fikëse. Në vitin </w:t>
      </w:r>
      <w:r>
        <w:rPr>
          <w:rStyle w:val="Strong"/>
          <w:rFonts w:eastAsiaTheme="majorEastAsia"/>
        </w:rPr>
        <w:t>2024</w:t>
      </w:r>
      <w:r>
        <w:t xml:space="preserve">, pati një rritje të lehtë, ku numri arriti në </w:t>
      </w:r>
      <w:r>
        <w:rPr>
          <w:rStyle w:val="Strong"/>
          <w:rFonts w:eastAsiaTheme="majorEastAsia"/>
        </w:rPr>
        <w:t>70</w:t>
      </w:r>
      <w:r>
        <w:t xml:space="preserve">. Kjo vlerë u ruajt edhe në vitin </w:t>
      </w:r>
      <w:r>
        <w:rPr>
          <w:rStyle w:val="Strong"/>
          <w:rFonts w:eastAsiaTheme="majorEastAsia"/>
        </w:rPr>
        <w:t>2025</w:t>
      </w:r>
      <w:r>
        <w:t xml:space="preserve">, duke treguar përkushtim të vazhdueshëm në përmirësimin e sigurisë. Për më tepër, një rritje e mëtejshme u pa në vitin </w:t>
      </w:r>
      <w:r>
        <w:rPr>
          <w:rStyle w:val="Strong"/>
          <w:rFonts w:eastAsiaTheme="majorEastAsia"/>
        </w:rPr>
        <w:t>2026</w:t>
      </w:r>
      <w:r>
        <w:t xml:space="preserve">, me numrin që u rrit në </w:t>
      </w:r>
      <w:r>
        <w:rPr>
          <w:rStyle w:val="Strong"/>
          <w:rFonts w:eastAsiaTheme="majorEastAsia"/>
        </w:rPr>
        <w:t>75</w:t>
      </w:r>
      <w:r>
        <w:t>. Kjo tregon se Bashkia e Memaliajt po investon në përmirësimin e pajisjeve të sigurisë në institucione. Përgjatë periudhës së shqyrtuar, ka pasur një fokus të qartë në mirëmbajtjen dhe përmirësimin e infrastrukturës së sigurisë. Rritja graduale dhe e qëndrueshme konfirmon angazhimin për sigurinë dhe shëndetin e komunitetit.</w:t>
      </w:r>
    </w:p>
    <w:p w:rsidR="00273E47" w:rsidRDefault="00ED2D5A" w:rsidP="001F32AA"/>
    <w:p w:rsidR="00ED5A1B" w:rsidRDefault="00F7615D" w:rsidP="001F32AA">
      <w:r>
        <w:rPr>
          <w:noProof/>
        </w:rPr>
        <w:drawing>
          <wp:inline distT="0" distB="0" distL="0" distR="0">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52FA" w:rsidRDefault="00ED2D5A" w:rsidP="0030311D"/>
    <w:p w:rsidR="00395608" w:rsidRPr="00395608" w:rsidRDefault="00F7615D" w:rsidP="009E0349">
      <w:pPr>
        <w:pStyle w:val="sherbimiHeader1"/>
        <w:ind w:firstLine="720"/>
      </w:pPr>
      <w:bookmarkStart w:id="36" w:name="_Toc213857414"/>
      <w:r>
        <w:lastRenderedPageBreak/>
        <w:t>Përkujdesi Social</w:t>
      </w:r>
      <w:bookmarkEnd w:id="36"/>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Sherbimi përfshin dhënien e përfitimeve në para dhe në natyrë për familjet me fëmijë, duke përfshirë pagesa për nëna, grante për lindje, mbështetje për kujdesin e fëmijëve dhe pagesa periodike ose të menjëhershme për të ndihmuar familjet në përballimin e kostove specifike, si ato të energjisë, ujit dhe shërbimeve sanitare. Përfshihet gjithashtu ndihma për kujdestarët e fëmijëve, strehimi dhe ushqimi për fëmijët dhe familjet (jetimore, familje kujdestare etj.), si dhe dhënia e mallrave dhe shërbimeve për familjet, të rinjtë dhe fëmijët.  Shërbimi mbulon gjithashtu përfitimet në para dhe natyrë për personat në rrezik për përjashtim shoqëror, përfshirë personat në skamje, me fitime të ulëta, imigrantët, refugjatët, viktimat e dhunës dhe abuzuesit e substancave, duke përfshirë kompensimin e pagave, strehimin afatshkurtër dhe afatgjatë, vakte ushqimi, këshillim, ndihmë për kryerjen e punëve të përditshme dhe furnizim me ushqim, veshje ose lëndë djegëse. Shërbimi mbështetet nga fondet e pushtetit qendror për funksionin e deleguar të ndihmës ekonomike dhe pagesave për personat me aftësi të kufizuar, dhe përfshin administrimin, organizimin dhe mbështetjen e skemave të mbrojtjes shoqërore."</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7936"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5" type="#_x0000_t202" style="position:absolute;left:0;text-align:left;margin-left:.7pt;margin-top:21pt;width:471.75pt;height:20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" filled="f" stroked="f">
                <v:textbox>
                  <w:txbxContent>
                    <w:p w:rsidR="00925CDB" w:rsidRDefault="00F7615D">
                      <w:r>
                        <w:rPr>
                          <w:noProof/>
                        </w:rPr>
                        <w:drawing>
                          <wp:inline distT="0" distB="0" distL="0" distR="0" wp14:editId="50D07946">
                            <wp:extent cx="5800000" cy="24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286"/>
        <w:gridCol w:w="2788"/>
        <w:gridCol w:w="1236"/>
        <w:gridCol w:w="696"/>
        <w:gridCol w:w="1236"/>
        <w:gridCol w:w="1236"/>
        <w:gridCol w:w="1236"/>
        <w:gridCol w:w="123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845FBA" w:rsidRDefault="00F7615D">
            <w:pPr>
              <w:spacing w:after="0" w:line="200" w:lineRule="auto"/>
              <w:jc w:val="left"/>
            </w:pPr>
            <w:r>
              <w:rPr>
                <w:b/>
              </w:rPr>
              <w:t>Përshkrim</w:t>
            </w:r>
          </w:p>
        </w:tc>
        <w:tc>
          <w:tcPr>
            <w:tcW w:w="0" w:type="auto"/>
            <w:shd w:val="clear" w:color="auto" w:fill="D9E1F2"/>
            <w:vAlign w:val="center"/>
          </w:tcPr>
          <w:p w:rsidR="00845FBA" w:rsidRDefault="00F7615D">
            <w:pPr>
              <w:spacing w:after="0" w:line="200" w:lineRule="auto"/>
              <w:jc w:val="left"/>
            </w:pPr>
            <w:r>
              <w:rPr>
                <w:b/>
              </w:rPr>
              <w:t>2021</w:t>
            </w:r>
          </w:p>
        </w:tc>
        <w:tc>
          <w:tcPr>
            <w:tcW w:w="0" w:type="auto"/>
            <w:shd w:val="clear" w:color="auto" w:fill="D9E1F2"/>
            <w:vAlign w:val="center"/>
          </w:tcPr>
          <w:p w:rsidR="00845FBA" w:rsidRDefault="00F7615D">
            <w:pPr>
              <w:spacing w:after="0" w:line="200" w:lineRule="auto"/>
              <w:jc w:val="left"/>
            </w:pPr>
            <w:r>
              <w:rPr>
                <w:b/>
              </w:rPr>
              <w:t>2022</w:t>
            </w:r>
          </w:p>
        </w:tc>
        <w:tc>
          <w:tcPr>
            <w:tcW w:w="0" w:type="auto"/>
            <w:shd w:val="clear" w:color="auto" w:fill="D9E1F2"/>
            <w:vAlign w:val="center"/>
          </w:tcPr>
          <w:p w:rsidR="00845FBA" w:rsidRDefault="00F7615D">
            <w:pPr>
              <w:spacing w:after="0" w:line="200" w:lineRule="auto"/>
              <w:jc w:val="left"/>
            </w:pPr>
            <w:r>
              <w:rPr>
                <w:b/>
              </w:rPr>
              <w:t>2023</w:t>
            </w:r>
          </w:p>
        </w:tc>
        <w:tc>
          <w:tcPr>
            <w:tcW w:w="0" w:type="auto"/>
            <w:shd w:val="clear" w:color="auto" w:fill="D9E1F2"/>
            <w:vAlign w:val="center"/>
          </w:tcPr>
          <w:p w:rsidR="00845FBA" w:rsidRDefault="00F7615D">
            <w:pPr>
              <w:spacing w:after="0" w:line="200" w:lineRule="auto"/>
              <w:jc w:val="left"/>
            </w:pPr>
            <w:r>
              <w:rPr>
                <w:b/>
              </w:rPr>
              <w:t>2024</w:t>
            </w:r>
          </w:p>
        </w:tc>
        <w:tc>
          <w:tcPr>
            <w:tcW w:w="0" w:type="auto"/>
            <w:shd w:val="clear" w:color="auto" w:fill="D9E1F2"/>
            <w:vAlign w:val="center"/>
          </w:tcPr>
          <w:p w:rsidR="00845FBA" w:rsidRDefault="00F7615D">
            <w:pPr>
              <w:spacing w:after="0" w:line="200" w:lineRule="auto"/>
              <w:jc w:val="left"/>
            </w:pPr>
            <w:r>
              <w:rPr>
                <w:b/>
              </w:rPr>
              <w:t>2025</w:t>
            </w:r>
          </w:p>
        </w:tc>
        <w:tc>
          <w:tcPr>
            <w:tcW w:w="0" w:type="auto"/>
            <w:shd w:val="clear" w:color="auto" w:fill="D9E1F2"/>
            <w:vAlign w:val="center"/>
          </w:tcPr>
          <w:p w:rsidR="00845FBA"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Shërbimi për personat e sëmurë dhe invalidë ofrohet sipas standardit kombëtar ligjor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Përfitimi monetar në Lekë për çdo person të sëmurë ose invalid</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206137.33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272294.72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271919.19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273737.37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273737.37</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774"/>
        <w:gridCol w:w="1296"/>
        <w:gridCol w:w="696"/>
        <w:gridCol w:w="1296"/>
        <w:gridCol w:w="1296"/>
        <w:gridCol w:w="1296"/>
        <w:gridCol w:w="129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845FBA" w:rsidRDefault="00F7615D">
            <w:pPr>
              <w:spacing w:after="0" w:line="200" w:lineRule="auto"/>
              <w:jc w:val="left"/>
            </w:pPr>
            <w:r>
              <w:rPr>
                <w:b/>
              </w:rPr>
              <w:t>2021</w:t>
            </w:r>
          </w:p>
        </w:tc>
        <w:tc>
          <w:tcPr>
            <w:tcW w:w="0" w:type="auto"/>
            <w:shd w:val="clear" w:color="auto" w:fill="D9E1F2"/>
            <w:vAlign w:val="center"/>
          </w:tcPr>
          <w:p w:rsidR="00845FBA" w:rsidRDefault="00F7615D">
            <w:pPr>
              <w:spacing w:after="0" w:line="200" w:lineRule="auto"/>
              <w:jc w:val="left"/>
            </w:pPr>
            <w:r>
              <w:rPr>
                <w:b/>
              </w:rPr>
              <w:t>2022</w:t>
            </w:r>
          </w:p>
        </w:tc>
        <w:tc>
          <w:tcPr>
            <w:tcW w:w="0" w:type="auto"/>
            <w:shd w:val="clear" w:color="auto" w:fill="D9E1F2"/>
            <w:vAlign w:val="center"/>
          </w:tcPr>
          <w:p w:rsidR="00845FBA" w:rsidRDefault="00F7615D">
            <w:pPr>
              <w:spacing w:after="0" w:line="200" w:lineRule="auto"/>
              <w:jc w:val="left"/>
            </w:pPr>
            <w:r>
              <w:rPr>
                <w:b/>
              </w:rPr>
              <w:t>2023</w:t>
            </w:r>
          </w:p>
        </w:tc>
        <w:tc>
          <w:tcPr>
            <w:tcW w:w="0" w:type="auto"/>
            <w:shd w:val="clear" w:color="auto" w:fill="D9E1F2"/>
            <w:vAlign w:val="center"/>
          </w:tcPr>
          <w:p w:rsidR="00845FBA" w:rsidRDefault="00F7615D">
            <w:pPr>
              <w:spacing w:after="0" w:line="200" w:lineRule="auto"/>
              <w:jc w:val="left"/>
            </w:pPr>
            <w:r>
              <w:rPr>
                <w:b/>
              </w:rPr>
              <w:t>2024</w:t>
            </w:r>
          </w:p>
        </w:tc>
        <w:tc>
          <w:tcPr>
            <w:tcW w:w="0" w:type="auto"/>
            <w:shd w:val="clear" w:color="auto" w:fill="D9E1F2"/>
            <w:vAlign w:val="center"/>
          </w:tcPr>
          <w:p w:rsidR="00845FBA" w:rsidRDefault="00F7615D">
            <w:pPr>
              <w:spacing w:after="0" w:line="200" w:lineRule="auto"/>
              <w:jc w:val="left"/>
            </w:pPr>
            <w:r>
              <w:rPr>
                <w:b/>
              </w:rPr>
              <w:t>2025</w:t>
            </w:r>
          </w:p>
        </w:tc>
        <w:tc>
          <w:tcPr>
            <w:tcW w:w="0" w:type="auto"/>
            <w:shd w:val="clear" w:color="auto" w:fill="D9E1F2"/>
            <w:vAlign w:val="center"/>
          </w:tcPr>
          <w:p w:rsidR="00845FBA"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Fondi buxhetor për invaliditetin dhe paaftësinë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141822480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133969000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134600000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135500000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135500000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Punonjës të bashkisë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212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total i personave të moshës së tretë të shërbyer në qendrat sociale ditore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total i personave të moshës së tretë të shërbyer në qendrat sociale rezidenciale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total i ndërtesave që administrohen nga bashkia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i punonjësve social të njvv</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i qendrave komunitare shumëdisiplinare që plotësojnë 6 standardet e mshms</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i personave pak të punësuar në bashki</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total i të moshuarve në nevojë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1000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Numri i shërbimeve të ofruara për pak-të në shtëpi-familje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Fëmijë të sherbyer gjithsej ne qendrat sociale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70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Fëmijë të shërbyer në qendra ditore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70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Numër personash të asistuar me pagesë invaliditeti dhe paaftësie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688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904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492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495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495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45FBA" w:rsidRDefault="00F7615D">
            <w:pPr>
              <w:spacing w:after="0" w:line="240" w:lineRule="auto"/>
            </w:pPr>
            <w:r>
              <w:t>495</w:t>
            </w:r>
          </w:p>
        </w:tc>
      </w:tr>
    </w:tbl>
    <w:p w:rsidR="00625A7F" w:rsidRDefault="00ED2D5A" w:rsidP="00FE107E">
      <w:pPr>
        <w:pStyle w:val="pharagraphSpacing"/>
      </w:pPr>
    </w:p>
    <w:p w:rsidR="00086748"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Fondi buxhetor për invaliditetin dhe paaftësinë në lekë</w:t>
      </w:r>
    </w:p>
    <w:p w:rsidR="001F32AA" w:rsidRDefault="00ED2D5A" w:rsidP="006A3D44"/>
    <w:p w:rsidR="0005294B" w:rsidRDefault="00F7615D">
      <w:pPr>
        <w:pStyle w:val="NormalWeb"/>
        <w:divId w:val="1256288590"/>
      </w:pPr>
      <w:r>
        <w:t xml:space="preserve">Të dhënat e bashkisë Memaliaj për Fondin buxhetor për invaliditetin dhe paaftësinë tregojnë ndryshime interesante ndër vite. Në </w:t>
      </w:r>
      <w:r>
        <w:rPr>
          <w:rStyle w:val="Strong"/>
          <w:rFonts w:eastAsiaTheme="majorEastAsia"/>
        </w:rPr>
        <w:t>2021</w:t>
      </w:r>
      <w:r>
        <w:t xml:space="preserve">, fondi ishte </w:t>
      </w:r>
      <w:r>
        <w:rPr>
          <w:rStyle w:val="Strong"/>
          <w:rFonts w:eastAsiaTheme="majorEastAsia"/>
        </w:rPr>
        <w:t>141,822,480</w:t>
      </w:r>
      <w:r>
        <w:t xml:space="preserve"> lekë. Për vitin </w:t>
      </w:r>
      <w:r>
        <w:rPr>
          <w:rStyle w:val="Strong"/>
          <w:rFonts w:eastAsiaTheme="majorEastAsia"/>
        </w:rPr>
        <w:t>2022</w:t>
      </w:r>
      <w:r>
        <w:t xml:space="preserve"> mungojnë të dhënat, duke lënë një hendek në analizën e trendit për atë vit. Në </w:t>
      </w:r>
      <w:r>
        <w:rPr>
          <w:rStyle w:val="Strong"/>
          <w:rFonts w:eastAsiaTheme="majorEastAsia"/>
        </w:rPr>
        <w:t>2023</w:t>
      </w:r>
      <w:r>
        <w:t xml:space="preserve">, fondi u ul në </w:t>
      </w:r>
      <w:r>
        <w:rPr>
          <w:rStyle w:val="Strong"/>
          <w:rFonts w:eastAsiaTheme="majorEastAsia"/>
        </w:rPr>
        <w:t>133,969,000</w:t>
      </w:r>
      <w:r>
        <w:t xml:space="preserve"> lekë, duke treguar një rënie krahasuar me 2021. Për vitin </w:t>
      </w:r>
      <w:r>
        <w:rPr>
          <w:rStyle w:val="Strong"/>
          <w:rFonts w:eastAsiaTheme="majorEastAsia"/>
        </w:rPr>
        <w:t>2024</w:t>
      </w:r>
      <w:r>
        <w:t xml:space="preserve">, fondi parashikohet të jetë </w:t>
      </w:r>
      <w:r>
        <w:rPr>
          <w:rStyle w:val="Strong"/>
          <w:rFonts w:eastAsiaTheme="majorEastAsia"/>
        </w:rPr>
        <w:t>134,600,000</w:t>
      </w:r>
      <w:r>
        <w:t xml:space="preserve"> lekë, duke shfaqur një rritje të vogël nga 2023. Në vitet </w:t>
      </w:r>
      <w:r>
        <w:rPr>
          <w:rStyle w:val="Strong"/>
          <w:rFonts w:eastAsiaTheme="majorEastAsia"/>
        </w:rPr>
        <w:t>2025</w:t>
      </w:r>
      <w:r>
        <w:t xml:space="preserve"> dhe </w:t>
      </w:r>
      <w:r>
        <w:rPr>
          <w:rStyle w:val="Strong"/>
          <w:rFonts w:eastAsiaTheme="majorEastAsia"/>
        </w:rPr>
        <w:t>2026</w:t>
      </w:r>
      <w:r>
        <w:t xml:space="preserve">, fondi planifikohet të jetë konstant në </w:t>
      </w:r>
      <w:r>
        <w:rPr>
          <w:rStyle w:val="Strong"/>
          <w:rFonts w:eastAsiaTheme="majorEastAsia"/>
        </w:rPr>
        <w:t>135,500,000</w:t>
      </w:r>
      <w:r>
        <w:t xml:space="preserve"> lekë për secilin vit. Krahasuar me 2021, kjo përfaqëson një ulje të përgjithshme, por një stabilizim në periudhën 2024-2026. Rritja e vogël nga viti 2023 në vitin 2024 dhe stabiliteti në vitet e mëvonshme mund të tregojnë përpjekje për menaxhim më të kujdesshëm të buxhetit. Këto të dhëna janë të vlefshme për planifikimin buxhetor dhe vlerësimin e nevojave të qytetarëve me invaliditet dhe paaftësi. Për mungesën e të dhënave për 2022, analizat e mëtejshme do të ndihmonin në ndriçimin e faktorëve që mund të kenë ndikuar në këtë.</w:t>
      </w:r>
    </w:p>
    <w:p w:rsidR="00273E47" w:rsidRDefault="00ED2D5A" w:rsidP="001F32AA"/>
    <w:p w:rsidR="005745F5" w:rsidRDefault="00F7615D">
      <w:r>
        <w:rPr>
          <w:noProof/>
        </w:rPr>
        <w:drawing>
          <wp:inline distT="0" distB="0" distL="0" distR="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F32AA" w:rsidRDefault="00F7615D" w:rsidP="001F32AA">
      <w:pPr>
        <w:pStyle w:val="dataNameStyle"/>
      </w:pPr>
      <w:r>
        <w:lastRenderedPageBreak/>
        <w:t>Numër personash të asistuar me pagesë invaliditeti dhe paaftësie</w:t>
      </w:r>
    </w:p>
    <w:p w:rsidR="001F32AA" w:rsidRDefault="00ED2D5A" w:rsidP="006A3D44"/>
    <w:p w:rsidR="0005294B" w:rsidRDefault="00F7615D">
      <w:pPr>
        <w:pStyle w:val="NormalWeb"/>
        <w:divId w:val="1709720971"/>
      </w:pPr>
      <w:r>
        <w:t xml:space="preserve">Të dhënat për numrin e personave të asistuar me pagesë invaliditeti dhe paaftësie në Bashkinë Memaliaj tregojnë ndryshime të dukshme gjatë viteve. Në vitin </w:t>
      </w:r>
      <w:r>
        <w:rPr>
          <w:rStyle w:val="Strong"/>
          <w:rFonts w:eastAsiaTheme="majorEastAsia"/>
        </w:rPr>
        <w:t>2021</w:t>
      </w:r>
      <w:r>
        <w:t xml:space="preserve">, ishin </w:t>
      </w:r>
      <w:r>
        <w:rPr>
          <w:rStyle w:val="Strong"/>
          <w:rFonts w:eastAsiaTheme="majorEastAsia"/>
        </w:rPr>
        <w:t>688</w:t>
      </w:r>
      <w:r>
        <w:t xml:space="preserve"> persona të asistuar. Kjo shifër u rrit ndjeshëm në vitin </w:t>
      </w:r>
      <w:r>
        <w:rPr>
          <w:rStyle w:val="Strong"/>
          <w:rFonts w:eastAsiaTheme="majorEastAsia"/>
        </w:rPr>
        <w:t>2022</w:t>
      </w:r>
      <w:r>
        <w:t xml:space="preserve"> me </w:t>
      </w:r>
      <w:r>
        <w:rPr>
          <w:rStyle w:val="Strong"/>
          <w:rFonts w:eastAsiaTheme="majorEastAsia"/>
        </w:rPr>
        <w:t>904</w:t>
      </w:r>
      <w:r>
        <w:t xml:space="preserve"> persona, që paraqet një rritje prej gati </w:t>
      </w:r>
      <w:r>
        <w:rPr>
          <w:rStyle w:val="Strong"/>
          <w:rFonts w:eastAsiaTheme="majorEastAsia"/>
        </w:rPr>
        <w:t>216</w:t>
      </w:r>
      <w:r>
        <w:t xml:space="preserve"> personash nga viti i mëparshëm. Megjithatë, në vitin </w:t>
      </w:r>
      <w:r>
        <w:rPr>
          <w:rStyle w:val="Strong"/>
          <w:rFonts w:eastAsiaTheme="majorEastAsia"/>
        </w:rPr>
        <w:t>2023</w:t>
      </w:r>
      <w:r>
        <w:t xml:space="preserve">, numri ra dukshëm në </w:t>
      </w:r>
      <w:r>
        <w:rPr>
          <w:rStyle w:val="Strong"/>
          <w:rFonts w:eastAsiaTheme="majorEastAsia"/>
        </w:rPr>
        <w:t>492</w:t>
      </w:r>
      <w:r>
        <w:t xml:space="preserve">, duke shënuar një ulje prej </w:t>
      </w:r>
      <w:r>
        <w:rPr>
          <w:rStyle w:val="Strong"/>
          <w:rFonts w:eastAsiaTheme="majorEastAsia"/>
        </w:rPr>
        <w:t>412</w:t>
      </w:r>
      <w:r>
        <w:t xml:space="preserve"> personash krahasuar me vitin </w:t>
      </w:r>
      <w:r>
        <w:rPr>
          <w:rStyle w:val="Strong"/>
          <w:rFonts w:eastAsiaTheme="majorEastAsia"/>
        </w:rPr>
        <w:t>2022</w:t>
      </w:r>
      <w:r>
        <w:t xml:space="preserve">. Për vitet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numri i personave të asistuar ka mbetur i pandryshuar në </w:t>
      </w:r>
      <w:r>
        <w:rPr>
          <w:rStyle w:val="Strong"/>
          <w:rFonts w:eastAsiaTheme="majorEastAsia"/>
        </w:rPr>
        <w:t>495</w:t>
      </w:r>
      <w:r>
        <w:t xml:space="preserve"> persona çdo vit. Kjo tregon një stabilizim pas rënies së theksuar të vitit </w:t>
      </w:r>
      <w:r>
        <w:rPr>
          <w:rStyle w:val="Strong"/>
          <w:rFonts w:eastAsiaTheme="majorEastAsia"/>
        </w:rPr>
        <w:t>2023</w:t>
      </w:r>
      <w:r>
        <w:t>. Të dhënat ngrejnë pyetje për faktorët që ndikuan rritjen dhe rënien e këtyre numrave. Mund të jenë politika sociale, ndryshime demografike, apo kushte të tjera ekonomike që kanë ndikuar këtë trend. Është e rëndësishme të analizohet më tej për të kuptuar faktorët që kanë shkaktuar këto ndryshime. Për një planifikim më të mirë të asistencës sociale, është thelbësore të vlerësohen këto shifra dhe të adresohen nevojat e komunitetit.</w:t>
      </w:r>
    </w:p>
    <w:p w:rsidR="00273E47" w:rsidRDefault="00ED2D5A" w:rsidP="001F32AA"/>
    <w:p w:rsidR="00ED5A1B" w:rsidRDefault="00F7615D" w:rsidP="001F32AA">
      <w:r>
        <w:rPr>
          <w:noProof/>
        </w:rPr>
        <w:drawing>
          <wp:inline distT="0" distB="0" distL="0" distR="0">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D52FA" w:rsidRDefault="00ED2D5A" w:rsidP="0030311D"/>
    <w:p w:rsidR="00395608" w:rsidRPr="00395608" w:rsidRDefault="00F7615D" w:rsidP="009E0349">
      <w:pPr>
        <w:pStyle w:val="sherbimiHeader1"/>
        <w:ind w:firstLine="720"/>
      </w:pPr>
      <w:bookmarkStart w:id="37" w:name="_Toc213857415"/>
      <w:r>
        <w:lastRenderedPageBreak/>
        <w:t>Furnizimi me Ujë dhe Kanalizime</w:t>
      </w:r>
      <w:bookmarkEnd w:id="37"/>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Bashkia është përgjegjëse për administrimin e problemeve të furnizimit me ujë; mbikëqyrjen dhe disiplinimin e problemeve të furnizimit me ujë, duke përfshirë pastërtinë e ujit, çmimin dhe kontrollet e sasisë; ngritjen ose vënien në funksionim e kapaciteteve të zgjeruara në shërbimin lokal të furnimizmit me ujë; prodhimin dhe shpërndarjen e informacionit publik, dokumentacionit teknik dhe statistikave për çështjet dhe shërbimet e furnizimit me ujë; administrimin e granteve, huave ose financimeve për të mbështetur ndërtimin, mirëmbajtjen ose përmirësimin e sistemeve të furnizimit me ujë.</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9984"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430849" name="Picture 24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6" type="#_x0000_t202" style="position:absolute;left:0;text-align:left;margin-left:.7pt;margin-top:21pt;width:471.75pt;height:20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" filled="f" stroked="f">
                <v:textbox>
                  <w:txbxContent>
                    <w:p w:rsidR="00925CDB" w:rsidRDefault="00F7615D">
                      <w:r>
                        <w:rPr>
                          <w:noProof/>
                        </w:rPr>
                        <w:drawing>
                          <wp:inline distT="0" distB="0" distL="0" distR="0" wp14:editId="50D07946">
                            <wp:extent cx="5800000" cy="2420000"/>
                            <wp:effectExtent l="0" t="0" r="0" b="0"/>
                            <wp:docPr id="2430849" name="Picture 24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009"/>
        <w:gridCol w:w="5405"/>
        <w:gridCol w:w="756"/>
        <w:gridCol w:w="756"/>
        <w:gridCol w:w="756"/>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997C79" w:rsidRDefault="00F7615D">
            <w:pPr>
              <w:spacing w:after="0" w:line="200" w:lineRule="auto"/>
              <w:jc w:val="left"/>
            </w:pPr>
            <w:r>
              <w:rPr>
                <w:b/>
              </w:rPr>
              <w:t>Përshkrim</w:t>
            </w:r>
          </w:p>
        </w:tc>
        <w:tc>
          <w:tcPr>
            <w:tcW w:w="0" w:type="auto"/>
            <w:shd w:val="clear" w:color="auto" w:fill="D9E1F2"/>
            <w:vAlign w:val="center"/>
          </w:tcPr>
          <w:p w:rsidR="00997C79" w:rsidRDefault="00F7615D">
            <w:pPr>
              <w:spacing w:after="0" w:line="200" w:lineRule="auto"/>
              <w:jc w:val="left"/>
            </w:pPr>
            <w:r>
              <w:rPr>
                <w:b/>
              </w:rPr>
              <w:t>2021</w:t>
            </w:r>
          </w:p>
        </w:tc>
        <w:tc>
          <w:tcPr>
            <w:tcW w:w="0" w:type="auto"/>
            <w:shd w:val="clear" w:color="auto" w:fill="D9E1F2"/>
            <w:vAlign w:val="center"/>
          </w:tcPr>
          <w:p w:rsidR="00997C79" w:rsidRDefault="00F7615D">
            <w:pPr>
              <w:spacing w:after="0" w:line="200" w:lineRule="auto"/>
              <w:jc w:val="left"/>
            </w:pPr>
            <w:r>
              <w:rPr>
                <w:b/>
              </w:rPr>
              <w:t>2022</w:t>
            </w:r>
          </w:p>
        </w:tc>
        <w:tc>
          <w:tcPr>
            <w:tcW w:w="0" w:type="auto"/>
            <w:shd w:val="clear" w:color="auto" w:fill="D9E1F2"/>
            <w:vAlign w:val="center"/>
          </w:tcPr>
          <w:p w:rsidR="00997C79" w:rsidRDefault="00F7615D">
            <w:pPr>
              <w:spacing w:after="0" w:line="200" w:lineRule="auto"/>
              <w:jc w:val="left"/>
            </w:pPr>
            <w:r>
              <w:rPr>
                <w:b/>
              </w:rPr>
              <w:t>2023</w:t>
            </w:r>
          </w:p>
        </w:tc>
        <w:tc>
          <w:tcPr>
            <w:tcW w:w="0" w:type="auto"/>
            <w:shd w:val="clear" w:color="auto" w:fill="D9E1F2"/>
            <w:vAlign w:val="center"/>
          </w:tcPr>
          <w:p w:rsidR="00997C79" w:rsidRDefault="00F7615D">
            <w:pPr>
              <w:spacing w:after="0" w:line="200" w:lineRule="auto"/>
              <w:jc w:val="left"/>
            </w:pPr>
            <w:r>
              <w:rPr>
                <w:b/>
              </w:rPr>
              <w:t>2024</w:t>
            </w:r>
          </w:p>
        </w:tc>
        <w:tc>
          <w:tcPr>
            <w:tcW w:w="0" w:type="auto"/>
            <w:shd w:val="clear" w:color="auto" w:fill="D9E1F2"/>
            <w:vAlign w:val="center"/>
          </w:tcPr>
          <w:p w:rsidR="00997C79" w:rsidRDefault="00F7615D">
            <w:pPr>
              <w:spacing w:after="0" w:line="200" w:lineRule="auto"/>
              <w:jc w:val="left"/>
            </w:pPr>
            <w:r>
              <w:rPr>
                <w:b/>
              </w:rPr>
              <w:t>2025</w:t>
            </w:r>
          </w:p>
        </w:tc>
        <w:tc>
          <w:tcPr>
            <w:tcW w:w="0" w:type="auto"/>
            <w:shd w:val="clear" w:color="auto" w:fill="D9E1F2"/>
            <w:vAlign w:val="center"/>
          </w:tcPr>
          <w:p w:rsidR="00997C7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Rritja e mbulimit me shërbimin e ujit të pijshëm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Mbulimi i popullsisë me shërbimin e ujit të pijshëm (kundrejt popullsisë totale të bashkisë në %)</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34.16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52.34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34.21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34.12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34.12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34.12</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p>
    <w:p w:rsidR="005745F5" w:rsidRDefault="00ED2D5A"/>
    <w:p w:rsidR="00681F58" w:rsidRDefault="00F7615D" w:rsidP="00681F58">
      <w:pPr>
        <w:pStyle w:val="indicatorNameStyle"/>
        <w:numPr>
          <w:ilvl w:val="0"/>
          <w:numId w:val="3"/>
        </w:numPr>
      </w:pPr>
      <w:r>
        <w:t>Rritja e mbulimit me shërbimin e ujit të pijshëm</w:t>
      </w:r>
    </w:p>
    <w:p w:rsidR="00681F58" w:rsidRDefault="00ED2D5A" w:rsidP="00DC2312"/>
    <w:p w:rsidR="00D60D23" w:rsidRDefault="00F7615D" w:rsidP="00DC2312">
      <w:pPr>
        <w:pStyle w:val="indicatordescription"/>
      </w:pPr>
      <w:r>
        <w:t>Mbulimi i popullsisë me shërbimin e ujit të pijshëm (kundrejt popullsisë totale të bashkisë në %)</w:t>
      </w:r>
    </w:p>
    <w:p w:rsidR="0005294B" w:rsidRDefault="00F7615D">
      <w:pPr>
        <w:pStyle w:val="NormalWeb"/>
        <w:divId w:val="931278990"/>
      </w:pPr>
      <w:r>
        <w:t xml:space="preserve">Në vitin </w:t>
      </w:r>
      <w:r>
        <w:rPr>
          <w:rStyle w:val="Strong"/>
          <w:rFonts w:eastAsiaTheme="majorEastAsia"/>
        </w:rPr>
        <w:t>2021</w:t>
      </w:r>
      <w:r>
        <w:t xml:space="preserve">, mbulimi i popullsisë me shërbimin e ujit të pijshëm në Bashkinë Memaliaj ishte vetëm </w:t>
      </w:r>
      <w:r>
        <w:rPr>
          <w:rStyle w:val="Strong"/>
          <w:rFonts w:eastAsiaTheme="majorEastAsia"/>
        </w:rPr>
        <w:t>34.16%</w:t>
      </w:r>
      <w:r>
        <w:t xml:space="preserve">, duke treguar një nevojë të madhe për përmirësime në këtë sektor. Gjatë vitit </w:t>
      </w:r>
      <w:r>
        <w:rPr>
          <w:rStyle w:val="Strong"/>
          <w:rFonts w:eastAsiaTheme="majorEastAsia"/>
        </w:rPr>
        <w:t>2022</w:t>
      </w:r>
      <w:r>
        <w:t xml:space="preserve">, ky tregues u përmirësua ndjeshëm duke arritur në </w:t>
      </w:r>
      <w:r>
        <w:rPr>
          <w:rStyle w:val="Strong"/>
          <w:rFonts w:eastAsiaTheme="majorEastAsia"/>
        </w:rPr>
        <w:t>52.34%</w:t>
      </w:r>
      <w:r>
        <w:t xml:space="preserve">, një rritje e konsiderueshme që ndoshta erdhi si rezultat i investimeve ose projekteve specifike. Megjithatë, në periudhën që pason, nga </w:t>
      </w:r>
      <w:r>
        <w:rPr>
          <w:rStyle w:val="Strong"/>
          <w:rFonts w:eastAsiaTheme="majorEastAsia"/>
        </w:rPr>
        <w:t>2023</w:t>
      </w:r>
      <w:r>
        <w:t xml:space="preserve"> deri në </w:t>
      </w:r>
      <w:r>
        <w:rPr>
          <w:rStyle w:val="Strong"/>
          <w:rFonts w:eastAsiaTheme="majorEastAsia"/>
        </w:rPr>
        <w:t>2026</w:t>
      </w:r>
      <w:r>
        <w:t xml:space="preserve">, vërehet një rënie dhe stagnim në mbulimin e shërbimit, duke u rikthyer në nivele më të ulëta. Në vitin </w:t>
      </w:r>
      <w:r>
        <w:rPr>
          <w:rStyle w:val="Strong"/>
          <w:rFonts w:eastAsiaTheme="majorEastAsia"/>
        </w:rPr>
        <w:t>2023</w:t>
      </w:r>
      <w:r>
        <w:t xml:space="preserve">, mbulimi ra përsëri në </w:t>
      </w:r>
      <w:r>
        <w:rPr>
          <w:rStyle w:val="Strong"/>
          <w:rFonts w:eastAsiaTheme="majorEastAsia"/>
        </w:rPr>
        <w:t>34.21%</w:t>
      </w:r>
      <w:r>
        <w:t xml:space="preserve">, shumë afër me nivelin e vitit </w:t>
      </w:r>
      <w:r>
        <w:rPr>
          <w:rStyle w:val="Strong"/>
          <w:rFonts w:eastAsiaTheme="majorEastAsia"/>
        </w:rPr>
        <w:t>2021</w:t>
      </w:r>
      <w:r>
        <w:t xml:space="preserve">. Për vitet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përqindja mbeti e njëjtë në </w:t>
      </w:r>
      <w:r>
        <w:rPr>
          <w:rStyle w:val="Strong"/>
          <w:rFonts w:eastAsiaTheme="majorEastAsia"/>
        </w:rPr>
        <w:t>34.12%</w:t>
      </w:r>
      <w:r>
        <w:t xml:space="preserve">. Këto të dhëna tregojnë një stagnim dhe mungesë përparimi në ofrimin e shërbimit të ujit të pijshëm në këto vite të fundit. Përmirësimet e bëra në </w:t>
      </w:r>
      <w:r>
        <w:rPr>
          <w:rStyle w:val="Strong"/>
          <w:rFonts w:eastAsiaTheme="majorEastAsia"/>
        </w:rPr>
        <w:t>2022</w:t>
      </w:r>
      <w:r>
        <w:t xml:space="preserve"> nuk pati vijueshmëri, duke sugjeruar sfida në vazhdimësinë dhe mirëmbajtjen e investimeve të bëra. Mungesa e rritjes në përqindje për vitet e fundit nënvizon nevojën për strategji të qëndrueshme për të arritur dhe ruajtur një mbulim më të lartë. Këto të dhëna janë një thirrje për veprim nga autoritetet lokale dhe organizatat ndërkombëtare për të adresuar këtë çështje kritike të infrastrukturës.</w:t>
      </w:r>
    </w:p>
    <w:p w:rsidR="00D60D23" w:rsidRDefault="00ED2D5A" w:rsidP="00681F58"/>
    <w:p w:rsidR="00822F95" w:rsidRDefault="00F7615D">
      <w:r>
        <w:rPr>
          <w:noProof/>
        </w:rPr>
        <w:lastRenderedPageBreak/>
        <w:drawing>
          <wp:inline distT="0" distB="0" distL="0" distR="0">
            <wp:extent cx="5486400" cy="3200400"/>
            <wp:effectExtent l="0" t="0" r="0" b="0"/>
            <wp:docPr id="2430848" name="Chart 2430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52FA" w:rsidRDefault="00ED2D5A" w:rsidP="0030311D"/>
    <w:p w:rsidR="005D52FA" w:rsidRDefault="00ED2D5A" w:rsidP="0030311D"/>
    <w:p w:rsidR="005D52FA" w:rsidRDefault="00ED2D5A" w:rsidP="0030311D"/>
    <w:p w:rsidR="00086748" w:rsidRDefault="00ED2D5A" w:rsidP="00EE4A4A">
      <w:pPr>
        <w:pStyle w:val="pharagraphSpacing"/>
      </w:pPr>
    </w:p>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7479"/>
        <w:gridCol w:w="911"/>
        <w:gridCol w:w="912"/>
        <w:gridCol w:w="912"/>
        <w:gridCol w:w="912"/>
        <w:gridCol w:w="912"/>
        <w:gridCol w:w="912"/>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997C79" w:rsidRDefault="00F7615D">
            <w:pPr>
              <w:spacing w:after="0" w:line="200" w:lineRule="auto"/>
              <w:jc w:val="left"/>
            </w:pPr>
            <w:r>
              <w:rPr>
                <w:b/>
              </w:rPr>
              <w:t>2021</w:t>
            </w:r>
          </w:p>
        </w:tc>
        <w:tc>
          <w:tcPr>
            <w:tcW w:w="0" w:type="auto"/>
            <w:shd w:val="clear" w:color="auto" w:fill="D9E1F2"/>
            <w:vAlign w:val="center"/>
          </w:tcPr>
          <w:p w:rsidR="00997C79" w:rsidRDefault="00F7615D">
            <w:pPr>
              <w:spacing w:after="0" w:line="200" w:lineRule="auto"/>
              <w:jc w:val="left"/>
            </w:pPr>
            <w:r>
              <w:rPr>
                <w:b/>
              </w:rPr>
              <w:t>2022</w:t>
            </w:r>
          </w:p>
        </w:tc>
        <w:tc>
          <w:tcPr>
            <w:tcW w:w="0" w:type="auto"/>
            <w:shd w:val="clear" w:color="auto" w:fill="D9E1F2"/>
            <w:vAlign w:val="center"/>
          </w:tcPr>
          <w:p w:rsidR="00997C79" w:rsidRDefault="00F7615D">
            <w:pPr>
              <w:spacing w:after="0" w:line="200" w:lineRule="auto"/>
              <w:jc w:val="left"/>
            </w:pPr>
            <w:r>
              <w:rPr>
                <w:b/>
              </w:rPr>
              <w:t>2023</w:t>
            </w:r>
          </w:p>
        </w:tc>
        <w:tc>
          <w:tcPr>
            <w:tcW w:w="0" w:type="auto"/>
            <w:shd w:val="clear" w:color="auto" w:fill="D9E1F2"/>
            <w:vAlign w:val="center"/>
          </w:tcPr>
          <w:p w:rsidR="00997C79" w:rsidRDefault="00F7615D">
            <w:pPr>
              <w:spacing w:after="0" w:line="200" w:lineRule="auto"/>
              <w:jc w:val="left"/>
            </w:pPr>
            <w:r>
              <w:rPr>
                <w:b/>
              </w:rPr>
              <w:t>2024</w:t>
            </w:r>
          </w:p>
        </w:tc>
        <w:tc>
          <w:tcPr>
            <w:tcW w:w="0" w:type="auto"/>
            <w:shd w:val="clear" w:color="auto" w:fill="D9E1F2"/>
            <w:vAlign w:val="center"/>
          </w:tcPr>
          <w:p w:rsidR="00997C79" w:rsidRDefault="00F7615D">
            <w:pPr>
              <w:spacing w:after="0" w:line="200" w:lineRule="auto"/>
              <w:jc w:val="left"/>
            </w:pPr>
            <w:r>
              <w:rPr>
                <w:b/>
              </w:rPr>
              <w:t>2025</w:t>
            </w:r>
          </w:p>
        </w:tc>
        <w:tc>
          <w:tcPr>
            <w:tcW w:w="0" w:type="auto"/>
            <w:shd w:val="clear" w:color="auto" w:fill="D9E1F2"/>
            <w:vAlign w:val="center"/>
          </w:tcPr>
          <w:p w:rsidR="00997C7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Sipërfaqja gjithësej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372.07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Numri total i familjeve në territorin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Numri i familjeve me matësa uji</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1347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Numri i lidhjeve te ujit te pijshem (kontrata totale me uk)</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Siperfaqja e bashkise e mbuluar me sherbimin e ujit te pijshem (ne km2)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370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Numri i punonjesve te uk</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22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Popullata që përfiton nga shërbimi me ujë të pijshëm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10520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997C79" w:rsidRDefault="00F7615D">
            <w:pPr>
              <w:spacing w:after="0" w:line="240" w:lineRule="auto"/>
            </w:pPr>
            <w:r>
              <w:t>6876</w:t>
            </w:r>
          </w:p>
        </w:tc>
      </w:tr>
    </w:tbl>
    <w:p w:rsidR="00625A7F" w:rsidRDefault="00ED2D5A" w:rsidP="00FE107E">
      <w:pPr>
        <w:pStyle w:val="pharagraphSpacing"/>
      </w:pPr>
    </w:p>
    <w:p w:rsidR="00086748"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395608" w:rsidRPr="00395608" w:rsidRDefault="00F7615D" w:rsidP="009E0349">
      <w:pPr>
        <w:pStyle w:val="sherbimiHeader1"/>
        <w:ind w:firstLine="720"/>
      </w:pPr>
      <w:bookmarkStart w:id="38" w:name="_Toc213857416"/>
      <w:r>
        <w:lastRenderedPageBreak/>
        <w:t>Burimet njerëzore</w:t>
      </w:r>
      <w:bookmarkEnd w:id="3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Menaxhimi i burimeve njerëzore përfshin jo vetëm plotësimin e vendeve të punë të qëndrueshme, por edhe përshtatjen e aftësive të punonjësve me nevojat në zhvillim të komuniteteve vendore. Administrata e apartatit të Bashkive i nënshtrohet rregullave të shërbimi civil shqiptar i cili rregullohet nga Ligji nr. 152/2013 “Për Nëpunësin Civil”, i ndryshuar, i cili krijon një shërbim civil profesional, të bazuar në meritë dhe politikisht asnjanës.</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92032"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430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430854" name="Picture 24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7" type="#_x0000_t202" style="position:absolute;left:0;text-align:left;margin-left:.7pt;margin-top:21pt;width:471.75pt;height:20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" filled="f" stroked="f">
                <v:textbox>
                  <w:txbxContent>
                    <w:p w:rsidR="00925CDB" w:rsidRDefault="00F7615D">
                      <w:r>
                        <w:rPr>
                          <w:noProof/>
                        </w:rPr>
                        <w:drawing>
                          <wp:inline distT="0" distB="0" distL="0" distR="0" wp14:editId="50D07946">
                            <wp:extent cx="5800000" cy="2420000"/>
                            <wp:effectExtent l="0" t="0" r="0" b="0"/>
                            <wp:docPr id="2430854" name="Picture 24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805"/>
        <w:gridCol w:w="4191"/>
        <w:gridCol w:w="1176"/>
        <w:gridCol w:w="1195"/>
        <w:gridCol w:w="1315"/>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AD169E" w:rsidRDefault="00F7615D">
            <w:pPr>
              <w:spacing w:after="0" w:line="200" w:lineRule="auto"/>
              <w:jc w:val="left"/>
            </w:pPr>
            <w:r>
              <w:rPr>
                <w:b/>
              </w:rPr>
              <w:t>Përshkrim</w:t>
            </w:r>
          </w:p>
        </w:tc>
        <w:tc>
          <w:tcPr>
            <w:tcW w:w="0" w:type="auto"/>
            <w:shd w:val="clear" w:color="auto" w:fill="D9E1F2"/>
            <w:vAlign w:val="center"/>
          </w:tcPr>
          <w:p w:rsidR="00AD169E" w:rsidRDefault="00F7615D">
            <w:pPr>
              <w:spacing w:after="0" w:line="200" w:lineRule="auto"/>
              <w:jc w:val="left"/>
            </w:pPr>
            <w:r>
              <w:rPr>
                <w:b/>
              </w:rPr>
              <w:t>2021</w:t>
            </w:r>
          </w:p>
        </w:tc>
        <w:tc>
          <w:tcPr>
            <w:tcW w:w="0" w:type="auto"/>
            <w:shd w:val="clear" w:color="auto" w:fill="D9E1F2"/>
            <w:vAlign w:val="center"/>
          </w:tcPr>
          <w:p w:rsidR="00AD169E" w:rsidRDefault="00F7615D">
            <w:pPr>
              <w:spacing w:after="0" w:line="200" w:lineRule="auto"/>
              <w:jc w:val="left"/>
            </w:pPr>
            <w:r>
              <w:rPr>
                <w:b/>
              </w:rPr>
              <w:t>2022</w:t>
            </w:r>
          </w:p>
        </w:tc>
        <w:tc>
          <w:tcPr>
            <w:tcW w:w="0" w:type="auto"/>
            <w:shd w:val="clear" w:color="auto" w:fill="D9E1F2"/>
            <w:vAlign w:val="center"/>
          </w:tcPr>
          <w:p w:rsidR="00AD169E" w:rsidRDefault="00F7615D">
            <w:pPr>
              <w:spacing w:after="0" w:line="200" w:lineRule="auto"/>
              <w:jc w:val="left"/>
            </w:pPr>
            <w:r>
              <w:rPr>
                <w:b/>
              </w:rPr>
              <w:t>2023</w:t>
            </w:r>
          </w:p>
        </w:tc>
        <w:tc>
          <w:tcPr>
            <w:tcW w:w="0" w:type="auto"/>
            <w:shd w:val="clear" w:color="auto" w:fill="D9E1F2"/>
            <w:vAlign w:val="center"/>
          </w:tcPr>
          <w:p w:rsidR="00AD169E" w:rsidRDefault="00F7615D">
            <w:pPr>
              <w:spacing w:after="0" w:line="200" w:lineRule="auto"/>
              <w:jc w:val="left"/>
            </w:pPr>
            <w:r>
              <w:rPr>
                <w:b/>
              </w:rPr>
              <w:t>2024</w:t>
            </w:r>
          </w:p>
        </w:tc>
        <w:tc>
          <w:tcPr>
            <w:tcW w:w="0" w:type="auto"/>
            <w:shd w:val="clear" w:color="auto" w:fill="D9E1F2"/>
            <w:vAlign w:val="center"/>
          </w:tcPr>
          <w:p w:rsidR="00AD169E" w:rsidRDefault="00F7615D">
            <w:pPr>
              <w:spacing w:after="0" w:line="200" w:lineRule="auto"/>
              <w:jc w:val="left"/>
            </w:pPr>
            <w:r>
              <w:rPr>
                <w:b/>
              </w:rPr>
              <w:t>2025</w:t>
            </w:r>
          </w:p>
        </w:tc>
        <w:tc>
          <w:tcPr>
            <w:tcW w:w="0" w:type="auto"/>
            <w:shd w:val="clear" w:color="auto" w:fill="D9E1F2"/>
            <w:vAlign w:val="center"/>
          </w:tcPr>
          <w:p w:rsidR="00AD169E"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Rritja e kapacitetit të punonjësve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Raporti në % mes punonjësve  të trajnuar dhe punonjësve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29.13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33.98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47.62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47.17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51.89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56.6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Rritja e qëndrueshmërisë së administrates civile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punonjësve të administratës që kanë lëvizur brenda vitit kundrejt numrit total të punonjësve të administratës (raporti në %)</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5.88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4.44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Bashkia e mbylli bilancin vjetor pa defiçit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Totali i burimeve financiare minus shpenzime totale në lekë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18776000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-52418850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-349044000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Punonjësit e policisë bashkiake gëzojnë statusin sipas ligjit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Raporti midis punonjësve me status të oficerit të policisë bashkiake kundrejt numrit total të punonjësve të policisë bashkiake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16.67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16.67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14.29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14.29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14.29</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Rregullimi i tregjeve nga bashkia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Raporti në % i tregjeve të aprovuara nga bashkia kundrejt tregjeve të planifikuara në PPV</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33.33</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p>
    <w:p w:rsidR="005745F5" w:rsidRDefault="00ED2D5A"/>
    <w:p w:rsidR="00681F58" w:rsidRDefault="00F7615D" w:rsidP="00681F58">
      <w:pPr>
        <w:pStyle w:val="indicatorNameStyle"/>
        <w:numPr>
          <w:ilvl w:val="0"/>
          <w:numId w:val="3"/>
        </w:numPr>
      </w:pPr>
      <w:r>
        <w:t>Rritja e kapacitetit të punonjësve të bashkisë</w:t>
      </w:r>
    </w:p>
    <w:p w:rsidR="00681F58" w:rsidRDefault="00ED2D5A" w:rsidP="00DC2312"/>
    <w:p w:rsidR="00D60D23" w:rsidRDefault="00F7615D" w:rsidP="00DC2312">
      <w:pPr>
        <w:pStyle w:val="indicatordescription"/>
      </w:pPr>
      <w:r>
        <w:t>Raporti në % mes punonjësve  të trajnuar dhe punonjësve total</w:t>
      </w:r>
    </w:p>
    <w:p w:rsidR="0005294B" w:rsidRDefault="00F7615D">
      <w:pPr>
        <w:pStyle w:val="NormalWeb"/>
        <w:divId w:val="1142388146"/>
      </w:pPr>
      <w:r>
        <w:t xml:space="preserve">Të dhënat e bashkisë Memaliaj tregojnë një trend pozitiv në përqindjen e punonjësve të trajnuar në raport me numrin total të punonjësve. Në vitin </w:t>
      </w:r>
      <w:r>
        <w:rPr>
          <w:rStyle w:val="Strong"/>
          <w:rFonts w:eastAsiaTheme="majorEastAsia"/>
        </w:rPr>
        <w:t>2021</w:t>
      </w:r>
      <w:r>
        <w:t xml:space="preserve">, ky raport ishte </w:t>
      </w:r>
      <w:r>
        <w:rPr>
          <w:rStyle w:val="Strong"/>
          <w:rFonts w:eastAsiaTheme="majorEastAsia"/>
        </w:rPr>
        <w:t>29.13%</w:t>
      </w:r>
      <w:r>
        <w:t xml:space="preserve">, duke treguar një fillim modeste për përmirësimin e aftësive të stafit. Duke kaluar në vitin </w:t>
      </w:r>
      <w:r>
        <w:rPr>
          <w:rStyle w:val="Strong"/>
          <w:rFonts w:eastAsiaTheme="majorEastAsia"/>
        </w:rPr>
        <w:t>2022</w:t>
      </w:r>
      <w:r>
        <w:t xml:space="preserve">, përqindja u përmirësua në </w:t>
      </w:r>
      <w:r>
        <w:rPr>
          <w:rStyle w:val="Strong"/>
          <w:rFonts w:eastAsiaTheme="majorEastAsia"/>
        </w:rPr>
        <w:t>33.98%</w:t>
      </w:r>
      <w:r>
        <w:t xml:space="preserve">, një rritje e konsiderueshme prej rreth 4.85 pikë përqindjeje. Në </w:t>
      </w:r>
      <w:r>
        <w:rPr>
          <w:rStyle w:val="Strong"/>
          <w:rFonts w:eastAsiaTheme="majorEastAsia"/>
        </w:rPr>
        <w:t>2023</w:t>
      </w:r>
      <w:r>
        <w:t xml:space="preserve">, vërehet një rritje më dramatike, duke arritur në </w:t>
      </w:r>
      <w:r>
        <w:rPr>
          <w:rStyle w:val="Strong"/>
          <w:rFonts w:eastAsiaTheme="majorEastAsia"/>
        </w:rPr>
        <w:t>47.62%</w:t>
      </w:r>
      <w:r>
        <w:t xml:space="preserve">, që përfaqëson një rritje prej 13.64 pikë përqindjeje nga viti i kaluar. Për </w:t>
      </w:r>
      <w:r>
        <w:rPr>
          <w:rStyle w:val="Strong"/>
          <w:rFonts w:eastAsiaTheme="majorEastAsia"/>
        </w:rPr>
        <w:t>2024</w:t>
      </w:r>
      <w:r>
        <w:t xml:space="preserve">, përqindja qëndroi në një nivel pak më të ulët në </w:t>
      </w:r>
      <w:r>
        <w:rPr>
          <w:rStyle w:val="Strong"/>
          <w:rFonts w:eastAsiaTheme="majorEastAsia"/>
        </w:rPr>
        <w:t>47.17%</w:t>
      </w:r>
      <w:r>
        <w:t xml:space="preserve">, duke shfaqur një stabilizim të përkohshëm. Në </w:t>
      </w:r>
      <w:r>
        <w:rPr>
          <w:rStyle w:val="Strong"/>
          <w:rFonts w:eastAsiaTheme="majorEastAsia"/>
        </w:rPr>
        <w:t>2025</w:t>
      </w:r>
      <w:r>
        <w:t xml:space="preserve">, u pa një rritje e mëtejshme në </w:t>
      </w:r>
      <w:r>
        <w:rPr>
          <w:rStyle w:val="Strong"/>
          <w:rFonts w:eastAsiaTheme="majorEastAsia"/>
        </w:rPr>
        <w:t>51.89%</w:t>
      </w:r>
      <w:r>
        <w:t xml:space="preserve">, që përfaqëson progres të vazhdueshëm në trajnimet e stafit. Për vitin </w:t>
      </w:r>
      <w:r>
        <w:rPr>
          <w:rStyle w:val="Strong"/>
          <w:rFonts w:eastAsiaTheme="majorEastAsia"/>
        </w:rPr>
        <w:t>2026</w:t>
      </w:r>
      <w:r>
        <w:t xml:space="preserve">, përqindja u rrit në </w:t>
      </w:r>
      <w:r>
        <w:rPr>
          <w:rStyle w:val="Strong"/>
          <w:rFonts w:eastAsiaTheme="majorEastAsia"/>
        </w:rPr>
        <w:t>56.6%</w:t>
      </w:r>
      <w:r>
        <w:t>, që është më e larta gjatë këtyre viteve të raportuara. Këto shifra tregojnë një përkushtim të bashkisë për të investuar në trajnime dhe zhvillimin profesional të punonjësve të saj. Rritja e vazhdueshme sugjeron një fokus strategjik drejt përmirësimit të efikasitetit dhe cilësisë së shërbimeve publike. Këto përmirësime janë të rëndësishme për nxitjen e një ambienti pune më produktiv dhe të kualifikuar. Në përgjithësi, përpjekjet e bashkisë për ngritjen e kapaciteteve të punonjësve të saj janë premtuese për të ardhmen.</w:t>
      </w:r>
    </w:p>
    <w:p w:rsidR="00D60D23" w:rsidRDefault="00ED2D5A" w:rsidP="00681F58"/>
    <w:p w:rsidR="00822F95" w:rsidRDefault="00F7615D">
      <w:r>
        <w:rPr>
          <w:noProof/>
        </w:rPr>
        <w:lastRenderedPageBreak/>
        <w:drawing>
          <wp:inline distT="0" distB="0" distL="0" distR="0">
            <wp:extent cx="5486400" cy="3200400"/>
            <wp:effectExtent l="0" t="0" r="0" b="0"/>
            <wp:docPr id="2430851" name="Chart 2430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52FA" w:rsidRDefault="00ED2D5A" w:rsidP="0030311D"/>
    <w:p w:rsidR="005D52FA" w:rsidRDefault="00ED2D5A" w:rsidP="0030311D"/>
    <w:p w:rsidR="005D52FA" w:rsidRDefault="00ED2D5A" w:rsidP="0030311D"/>
    <w:p w:rsidR="00086748" w:rsidRDefault="00ED2D5A" w:rsidP="00EE4A4A">
      <w:pPr>
        <w:pStyle w:val="pharagraphSpacing"/>
      </w:pPr>
    </w:p>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174"/>
        <w:gridCol w:w="1296"/>
        <w:gridCol w:w="1296"/>
        <w:gridCol w:w="1296"/>
        <w:gridCol w:w="1296"/>
        <w:gridCol w:w="1296"/>
        <w:gridCol w:w="129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AD169E" w:rsidRDefault="00F7615D">
            <w:pPr>
              <w:spacing w:after="0" w:line="200" w:lineRule="auto"/>
              <w:jc w:val="left"/>
            </w:pPr>
            <w:r>
              <w:rPr>
                <w:b/>
              </w:rPr>
              <w:t>2021</w:t>
            </w:r>
          </w:p>
        </w:tc>
        <w:tc>
          <w:tcPr>
            <w:tcW w:w="0" w:type="auto"/>
            <w:shd w:val="clear" w:color="auto" w:fill="D9E1F2"/>
            <w:vAlign w:val="center"/>
          </w:tcPr>
          <w:p w:rsidR="00AD169E" w:rsidRDefault="00F7615D">
            <w:pPr>
              <w:spacing w:after="0" w:line="200" w:lineRule="auto"/>
              <w:jc w:val="left"/>
            </w:pPr>
            <w:r>
              <w:rPr>
                <w:b/>
              </w:rPr>
              <w:t>2022</w:t>
            </w:r>
          </w:p>
        </w:tc>
        <w:tc>
          <w:tcPr>
            <w:tcW w:w="0" w:type="auto"/>
            <w:shd w:val="clear" w:color="auto" w:fill="D9E1F2"/>
            <w:vAlign w:val="center"/>
          </w:tcPr>
          <w:p w:rsidR="00AD169E" w:rsidRDefault="00F7615D">
            <w:pPr>
              <w:spacing w:after="0" w:line="200" w:lineRule="auto"/>
              <w:jc w:val="left"/>
            </w:pPr>
            <w:r>
              <w:rPr>
                <w:b/>
              </w:rPr>
              <w:t>2023</w:t>
            </w:r>
          </w:p>
        </w:tc>
        <w:tc>
          <w:tcPr>
            <w:tcW w:w="0" w:type="auto"/>
            <w:shd w:val="clear" w:color="auto" w:fill="D9E1F2"/>
            <w:vAlign w:val="center"/>
          </w:tcPr>
          <w:p w:rsidR="00AD169E" w:rsidRDefault="00F7615D">
            <w:pPr>
              <w:spacing w:after="0" w:line="200" w:lineRule="auto"/>
              <w:jc w:val="left"/>
            </w:pPr>
            <w:r>
              <w:rPr>
                <w:b/>
              </w:rPr>
              <w:t>2024</w:t>
            </w:r>
          </w:p>
        </w:tc>
        <w:tc>
          <w:tcPr>
            <w:tcW w:w="0" w:type="auto"/>
            <w:shd w:val="clear" w:color="auto" w:fill="D9E1F2"/>
            <w:vAlign w:val="center"/>
          </w:tcPr>
          <w:p w:rsidR="00AD169E" w:rsidRDefault="00F7615D">
            <w:pPr>
              <w:spacing w:after="0" w:line="200" w:lineRule="auto"/>
              <w:jc w:val="left"/>
            </w:pPr>
            <w:r>
              <w:rPr>
                <w:b/>
              </w:rPr>
              <w:t>2025</w:t>
            </w:r>
          </w:p>
        </w:tc>
        <w:tc>
          <w:tcPr>
            <w:tcW w:w="0" w:type="auto"/>
            <w:shd w:val="clear" w:color="auto" w:fill="D9E1F2"/>
            <w:vAlign w:val="center"/>
          </w:tcPr>
          <w:p w:rsidR="00AD169E"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Punonjës të bashkisë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212</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që kanë lëvizur nga administrata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të administratës</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85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90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Punonjës që janë ulur në detyrë në administratë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Totali i shpenzimeve të përgjithëshme të bashkisë (realizimi faktik vjetor)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312747000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375248850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598388000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595848000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398897000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400475000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Të ardhurat e përgjithshme të bashkisë (totali i të ardhurave)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331523000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322830000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249344000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595848000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398897000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400475000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të policisë bashkiake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Punonjës me statusin oficer të policisë bashkiake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tregjeve (bujqësorë, industrial, etj.) të planifikuara në planin e përgjithshëm vendor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Ditë trajnimi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Koha mesatare për marrjen e dokumentit nga momenti i aplikimit në gjendjen civile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masave disiplinore të marra nga punonjësit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lastRenderedPageBreak/>
              <w:t>Numri total i shërbimeve administrative që ofrohen online për qytetarët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shërbimeve administrative që ofron bashkia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140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Të ardhurat e arkëtuara nga prodhimi I dokumentave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Detyrimet financiarë të papaguara në kohë ndaj të tretëve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17395686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15628190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Te ardhurat e veta (realizimi faktik vjetor)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18231000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17804000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30000000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45230000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45238000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45246000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të bashkisë që janë larguar nga puna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punonjëseve femra që kanë lëvizur nga administrata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punonjëseve femra të bashkisë që kanë lëvizur nga puna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femra që punojnë për administratën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punonjëseve femra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ndërtesave që administrohen nga bashkia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Sipërfaqja totale në m2 e ndërtesave në administrim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4645.3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pajisjeve të teknologjisë së informacionit dhe komunikimit (tik) në total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total i punonjësve të trajnuar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120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projekteve rehabilituese për komunitetin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projekteve të reja për komunitetin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konsultimeve publike të kryera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lastRenderedPageBreak/>
              <w:t>Numri i tregjeve funksionale sipas standardit te percaktuar ne planin e zhvillimit te territorit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Koha mesatare për marrjen e dokumentit nga momenti i aplikimit në gjendjen civile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Numri i kërkesave të shërbyera nga gjendja civile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23000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27500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27000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31000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Popullsia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20128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13167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AD169E" w:rsidRDefault="00F7615D">
            <w:pPr>
              <w:spacing w:after="0" w:line="240" w:lineRule="auto"/>
            </w:pPr>
            <w:r>
              <w:t>20150</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Numri total i punonjësve të policisë bashkiake</w:t>
      </w:r>
    </w:p>
    <w:p w:rsidR="001F32AA" w:rsidRDefault="00ED2D5A" w:rsidP="006A3D44"/>
    <w:p w:rsidR="0005294B" w:rsidRDefault="00F7615D">
      <w:pPr>
        <w:pStyle w:val="NormalWeb"/>
        <w:divId w:val="1924753707"/>
      </w:pPr>
      <w:r>
        <w:t xml:space="preserve">Të dhënat për numrin total të punonjësve të policisë bashkiake në bashkinë Memaliaj tregojnë një qëndrueshmëri gjatë disa viteve. </w:t>
      </w:r>
      <w:r>
        <w:rPr>
          <w:rStyle w:val="Strong"/>
          <w:rFonts w:eastAsiaTheme="majorEastAsia"/>
        </w:rPr>
        <w:t>Në vitin 2021</w:t>
      </w:r>
      <w:r>
        <w:t xml:space="preserve">, numri i punonjësve ishte </w:t>
      </w:r>
      <w:r>
        <w:rPr>
          <w:rStyle w:val="Strong"/>
          <w:rFonts w:eastAsiaTheme="majorEastAsia"/>
        </w:rPr>
        <w:t>6</w:t>
      </w:r>
      <w:r>
        <w:t xml:space="preserve">, një shifër që mbeti e pandryshuar edhe gjatë vitit </w:t>
      </w:r>
      <w:r>
        <w:rPr>
          <w:rStyle w:val="Strong"/>
          <w:rFonts w:eastAsiaTheme="majorEastAsia"/>
        </w:rPr>
        <w:t>2022</w:t>
      </w:r>
      <w:r>
        <w:t xml:space="preserve">. E njëjta shifër prej </w:t>
      </w:r>
      <w:r>
        <w:rPr>
          <w:rStyle w:val="Strong"/>
          <w:rFonts w:eastAsiaTheme="majorEastAsia"/>
        </w:rPr>
        <w:t>6</w:t>
      </w:r>
      <w:r>
        <w:t xml:space="preserve"> punonjësish u vërejt edhe në vitin </w:t>
      </w:r>
      <w:r>
        <w:rPr>
          <w:rStyle w:val="Strong"/>
          <w:rFonts w:eastAsiaTheme="majorEastAsia"/>
        </w:rPr>
        <w:t>2023</w:t>
      </w:r>
      <w:r>
        <w:t xml:space="preserve">. Në vitin </w:t>
      </w:r>
      <w:r>
        <w:rPr>
          <w:rStyle w:val="Strong"/>
          <w:rFonts w:eastAsiaTheme="majorEastAsia"/>
        </w:rPr>
        <w:t>2024</w:t>
      </w:r>
      <w:r>
        <w:t xml:space="preserve">, pati një rritje të lehtë, me numrin që arriti në </w:t>
      </w:r>
      <w:r>
        <w:rPr>
          <w:rStyle w:val="Strong"/>
          <w:rFonts w:eastAsiaTheme="majorEastAsia"/>
        </w:rPr>
        <w:t>7</w:t>
      </w:r>
      <w:r>
        <w:t xml:space="preserve"> punonjës. Kjo shifër prej </w:t>
      </w:r>
      <w:r>
        <w:rPr>
          <w:rStyle w:val="Strong"/>
          <w:rFonts w:eastAsiaTheme="majorEastAsia"/>
        </w:rPr>
        <w:t>7</w:t>
      </w:r>
      <w:r>
        <w:t xml:space="preserve"> punonjësish vazhdoi të qëndrojë e njëjtë edhe në vitet </w:t>
      </w:r>
      <w:r>
        <w:rPr>
          <w:rStyle w:val="Strong"/>
          <w:rFonts w:eastAsiaTheme="majorEastAsia"/>
        </w:rPr>
        <w:t>2025</w:t>
      </w:r>
      <w:r>
        <w:t xml:space="preserve"> dhe </w:t>
      </w:r>
      <w:r>
        <w:rPr>
          <w:rStyle w:val="Strong"/>
          <w:rFonts w:eastAsiaTheme="majorEastAsia"/>
        </w:rPr>
        <w:t>2026</w:t>
      </w:r>
      <w:r>
        <w:t xml:space="preserve">. Rritja e numrit të punonjësve më </w:t>
      </w:r>
      <w:r>
        <w:rPr>
          <w:rStyle w:val="Strong"/>
          <w:rFonts w:eastAsiaTheme="majorEastAsia"/>
        </w:rPr>
        <w:t>2024</w:t>
      </w:r>
      <w:r>
        <w:t xml:space="preserve"> mund të jetë një reflektim i nevojave në rritje për shërbime të policisë bashkiake në Memaliaj. Nga të dhënat mund të deduktohet se bashkia ka mbajtur një strukturë të pandryshuar të personelit për tre vitet e para. Ndryshimi i parë në numër është regjistruar në </w:t>
      </w:r>
      <w:r>
        <w:rPr>
          <w:rStyle w:val="Strong"/>
          <w:rFonts w:eastAsiaTheme="majorEastAsia"/>
        </w:rPr>
        <w:t>2024</w:t>
      </w:r>
      <w:r>
        <w:t>, duke ruajtur qëndrueshmërinë më pas. Ky përshkrim tregon për një planifikim të kujdesshëm dhe të qëndrueshëm në administrimin e burimeve njerëzore në këtë sektor.</w:t>
      </w:r>
    </w:p>
    <w:p w:rsidR="00273E47" w:rsidRDefault="00ED2D5A" w:rsidP="001F32AA"/>
    <w:p w:rsidR="00ED5A1B" w:rsidRDefault="00F7615D" w:rsidP="001F32AA">
      <w:r>
        <w:rPr>
          <w:noProof/>
        </w:rPr>
        <w:drawing>
          <wp:inline distT="0" distB="0" distL="0" distR="0">
            <wp:extent cx="5486400" cy="3200400"/>
            <wp:effectExtent l="0" t="0" r="0" b="0"/>
            <wp:docPr id="2430852" name="Chart 2430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52FA" w:rsidRDefault="00ED2D5A" w:rsidP="0030311D"/>
    <w:p w:rsidR="005745F5" w:rsidRDefault="00ED2D5A"/>
    <w:p w:rsidR="001F32AA" w:rsidRDefault="00F7615D" w:rsidP="001F32AA">
      <w:pPr>
        <w:pStyle w:val="dataNameStyle"/>
      </w:pPr>
      <w:r>
        <w:lastRenderedPageBreak/>
        <w:t>Te ardhurat e veta (realizimi faktik vjetor)</w:t>
      </w:r>
    </w:p>
    <w:p w:rsidR="001F32AA" w:rsidRDefault="00ED2D5A" w:rsidP="006A3D44"/>
    <w:p w:rsidR="0005294B" w:rsidRDefault="00F7615D">
      <w:pPr>
        <w:pStyle w:val="NormalWeb"/>
        <w:divId w:val="1833249881"/>
      </w:pPr>
      <w:r>
        <w:t xml:space="preserve">Të dhënat e bashkisë Memaliaj për të ardhurat e veta tregojnë një trend interesant gjatë periudhës së analizuar. Në vitin </w:t>
      </w:r>
      <w:r>
        <w:rPr>
          <w:rStyle w:val="Strong"/>
          <w:rFonts w:eastAsiaTheme="majorEastAsia"/>
        </w:rPr>
        <w:t>2021</w:t>
      </w:r>
      <w:r>
        <w:t xml:space="preserve">, realizimi faktik i të ardhurave ishte </w:t>
      </w:r>
      <w:r>
        <w:rPr>
          <w:rStyle w:val="Strong"/>
          <w:rFonts w:eastAsiaTheme="majorEastAsia"/>
        </w:rPr>
        <w:t>18,231,000</w:t>
      </w:r>
      <w:r>
        <w:t xml:space="preserve"> lekë. Kjo shifër pësoi një rënie të lehtë në vitin </w:t>
      </w:r>
      <w:r>
        <w:rPr>
          <w:rStyle w:val="Strong"/>
          <w:rFonts w:eastAsiaTheme="majorEastAsia"/>
        </w:rPr>
        <w:t>2022</w:t>
      </w:r>
      <w:r>
        <w:t xml:space="preserve">, duke arritur në </w:t>
      </w:r>
      <w:r>
        <w:rPr>
          <w:rStyle w:val="Strong"/>
          <w:rFonts w:eastAsiaTheme="majorEastAsia"/>
        </w:rPr>
        <w:t>17,804,000</w:t>
      </w:r>
      <w:r>
        <w:t xml:space="preserve"> lekë. Një rritje e konsiderueshme u pa në </w:t>
      </w:r>
      <w:r>
        <w:rPr>
          <w:rStyle w:val="Strong"/>
          <w:rFonts w:eastAsiaTheme="majorEastAsia"/>
        </w:rPr>
        <w:t>2023</w:t>
      </w:r>
      <w:r>
        <w:t xml:space="preserve">, ku të ardhurat arritën në </w:t>
      </w:r>
      <w:r>
        <w:rPr>
          <w:rStyle w:val="Strong"/>
          <w:rFonts w:eastAsiaTheme="majorEastAsia"/>
        </w:rPr>
        <w:t>30,000,000</w:t>
      </w:r>
      <w:r>
        <w:t xml:space="preserve"> lekë. Prognozat për vitin </w:t>
      </w:r>
      <w:r>
        <w:rPr>
          <w:rStyle w:val="Strong"/>
          <w:rFonts w:eastAsiaTheme="majorEastAsia"/>
        </w:rPr>
        <w:t>2024</w:t>
      </w:r>
      <w:r>
        <w:t xml:space="preserve"> tregojnë një rritje të ndjeshme, me të ardhurat që pritet të jenë </w:t>
      </w:r>
      <w:r>
        <w:rPr>
          <w:rStyle w:val="Strong"/>
          <w:rFonts w:eastAsiaTheme="majorEastAsia"/>
        </w:rPr>
        <w:t>45,230,000</w:t>
      </w:r>
      <w:r>
        <w:t xml:space="preserve"> lekë. Këto prirje pozitive vazhdojnë edhe për vitet </w:t>
      </w:r>
      <w:r>
        <w:rPr>
          <w:rStyle w:val="Strong"/>
          <w:rFonts w:eastAsiaTheme="majorEastAsia"/>
        </w:rPr>
        <w:t>2025</w:t>
      </w:r>
      <w:r>
        <w:t xml:space="preserve"> dhe </w:t>
      </w:r>
      <w:r>
        <w:rPr>
          <w:rStyle w:val="Strong"/>
          <w:rFonts w:eastAsiaTheme="majorEastAsia"/>
        </w:rPr>
        <w:t>2026</w:t>
      </w:r>
      <w:r>
        <w:t xml:space="preserve">, ku të ardhurat parashikohen të jenë </w:t>
      </w:r>
      <w:r>
        <w:rPr>
          <w:rStyle w:val="Strong"/>
          <w:rFonts w:eastAsiaTheme="majorEastAsia"/>
        </w:rPr>
        <w:t>45,238,000</w:t>
      </w:r>
      <w:r>
        <w:t xml:space="preserve"> dhe </w:t>
      </w:r>
      <w:r>
        <w:rPr>
          <w:rStyle w:val="Strong"/>
          <w:rFonts w:eastAsiaTheme="majorEastAsia"/>
        </w:rPr>
        <w:t>45,246,000</w:t>
      </w:r>
      <w:r>
        <w:t xml:space="preserve"> lekë respektivisht. Rritja e ndjeshme nga </w:t>
      </w:r>
      <w:r>
        <w:rPr>
          <w:rStyle w:val="Strong"/>
          <w:rFonts w:eastAsiaTheme="majorEastAsia"/>
        </w:rPr>
        <w:t>2022</w:t>
      </w:r>
      <w:r>
        <w:t xml:space="preserve"> në </w:t>
      </w:r>
      <w:r>
        <w:rPr>
          <w:rStyle w:val="Strong"/>
          <w:rFonts w:eastAsiaTheme="majorEastAsia"/>
        </w:rPr>
        <w:t>2024</w:t>
      </w:r>
      <w:r>
        <w:t xml:space="preserve"> mund të jetë rezultat i politikave më të mira fiskale dhe rritjes së investimeve lokale. Ky ndryshim në strukturën e të ardhurave tregon një perspektivë optimiste për zhvillimin ekonomik të zonës në vitet e ardhshme. Të dhënat sugjerojnë se bashkia po forcon bazën e saj të të ardhurave, duke siguruar qëndrueshmëri financiare. Kjo rritje në të ardhura mund të përkthehet në përmirësime të mëtejshme të shërbimeve publike dhe infrastrukturës për banorët e Memaliajt.</w:t>
      </w:r>
    </w:p>
    <w:p w:rsidR="00273E47" w:rsidRDefault="00ED2D5A" w:rsidP="001F32AA"/>
    <w:p w:rsidR="00ED5A1B" w:rsidRDefault="00F7615D" w:rsidP="001F32AA">
      <w:r>
        <w:rPr>
          <w:noProof/>
        </w:rPr>
        <w:drawing>
          <wp:inline distT="0" distB="0" distL="0" distR="0">
            <wp:extent cx="5486400" cy="3200400"/>
            <wp:effectExtent l="0" t="0" r="0" b="0"/>
            <wp:docPr id="2430853" name="Chart 2430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D52FA" w:rsidRDefault="00ED2D5A" w:rsidP="0030311D"/>
    <w:p w:rsidR="00395608" w:rsidRPr="00395608" w:rsidRDefault="00F7615D" w:rsidP="009E0349">
      <w:pPr>
        <w:pStyle w:val="sherbimiHeader1"/>
        <w:ind w:firstLine="720"/>
      </w:pPr>
      <w:bookmarkStart w:id="39" w:name="_Toc213857417"/>
      <w:r>
        <w:lastRenderedPageBreak/>
        <w:t>Shërbimet Publike Vendore</w:t>
      </w:r>
      <w:bookmarkEnd w:id="39"/>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Ky shërbim përfshin planifikimin, përmirësimin dhe zhvillimin e strukturave publike, si hapësirat e rekreacionit, zonat e përbashkëta dhe ato relaksuese për komunitetin. Ai përfshin mbjelljen e luleve, shkurreve dhe pemëve dekorative për të përmirësuar hapësirën e gjelbërt të njësisë, si dhe zëvendësimin e trotuareve të prishura me materiale cilësore për të rritur cilësinë e shërbimeve ndaj qytetarëve.  Për më tepër, shërbimi mbulon ndërtimin, rehabilitimin dhe mirëmbajtjen e varrezave publike, si dhe menaxhimin e parqeve, lulishtave dhe hapësirave të gjelbra publike. Ai përfshin gjithashtu ofrimin e të gjitha shërbimeve të tjera publike sipas specifikimeve dhe nevojave të çdo njësie të vetëqeverisjes vendore.</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94080"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430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430861" name="Picture 243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8" type="#_x0000_t202" style="position:absolute;left:0;text-align:left;margin-left:.7pt;margin-top:21pt;width:471.75pt;height:20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" filled="f" stroked="f">
                <v:textbox>
                  <w:txbxContent>
                    <w:p w:rsidR="00925CDB" w:rsidRDefault="00F7615D">
                      <w:r>
                        <w:rPr>
                          <w:noProof/>
                        </w:rPr>
                        <w:drawing>
                          <wp:inline distT="0" distB="0" distL="0" distR="0" wp14:editId="50D07946">
                            <wp:extent cx="5800000" cy="2420000"/>
                            <wp:effectExtent l="0" t="0" r="0" b="0"/>
                            <wp:docPr id="2430861" name="Picture 243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398"/>
        <w:gridCol w:w="5076"/>
        <w:gridCol w:w="696"/>
        <w:gridCol w:w="756"/>
        <w:gridCol w:w="756"/>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8B762F" w:rsidRDefault="00F7615D">
            <w:pPr>
              <w:spacing w:after="0" w:line="200" w:lineRule="auto"/>
              <w:jc w:val="left"/>
            </w:pPr>
            <w:r>
              <w:rPr>
                <w:b/>
              </w:rPr>
              <w:t>Përshkrim</w:t>
            </w:r>
          </w:p>
        </w:tc>
        <w:tc>
          <w:tcPr>
            <w:tcW w:w="0" w:type="auto"/>
            <w:shd w:val="clear" w:color="auto" w:fill="D9E1F2"/>
            <w:vAlign w:val="center"/>
          </w:tcPr>
          <w:p w:rsidR="008B762F" w:rsidRDefault="00F7615D">
            <w:pPr>
              <w:spacing w:after="0" w:line="200" w:lineRule="auto"/>
              <w:jc w:val="left"/>
            </w:pPr>
            <w:r>
              <w:rPr>
                <w:b/>
              </w:rPr>
              <w:t>2021</w:t>
            </w:r>
          </w:p>
        </w:tc>
        <w:tc>
          <w:tcPr>
            <w:tcW w:w="0" w:type="auto"/>
            <w:shd w:val="clear" w:color="auto" w:fill="D9E1F2"/>
            <w:vAlign w:val="center"/>
          </w:tcPr>
          <w:p w:rsidR="008B762F" w:rsidRDefault="00F7615D">
            <w:pPr>
              <w:spacing w:after="0" w:line="200" w:lineRule="auto"/>
              <w:jc w:val="left"/>
            </w:pPr>
            <w:r>
              <w:rPr>
                <w:b/>
              </w:rPr>
              <w:t>2022</w:t>
            </w:r>
          </w:p>
        </w:tc>
        <w:tc>
          <w:tcPr>
            <w:tcW w:w="0" w:type="auto"/>
            <w:shd w:val="clear" w:color="auto" w:fill="D9E1F2"/>
            <w:vAlign w:val="center"/>
          </w:tcPr>
          <w:p w:rsidR="008B762F" w:rsidRDefault="00F7615D">
            <w:pPr>
              <w:spacing w:after="0" w:line="200" w:lineRule="auto"/>
              <w:jc w:val="left"/>
            </w:pPr>
            <w:r>
              <w:rPr>
                <w:b/>
              </w:rPr>
              <w:t>2023</w:t>
            </w:r>
          </w:p>
        </w:tc>
        <w:tc>
          <w:tcPr>
            <w:tcW w:w="0" w:type="auto"/>
            <w:shd w:val="clear" w:color="auto" w:fill="D9E1F2"/>
            <w:vAlign w:val="center"/>
          </w:tcPr>
          <w:p w:rsidR="008B762F" w:rsidRDefault="00F7615D">
            <w:pPr>
              <w:spacing w:after="0" w:line="200" w:lineRule="auto"/>
              <w:jc w:val="left"/>
            </w:pPr>
            <w:r>
              <w:rPr>
                <w:b/>
              </w:rPr>
              <w:t>2024</w:t>
            </w:r>
          </w:p>
        </w:tc>
        <w:tc>
          <w:tcPr>
            <w:tcW w:w="0" w:type="auto"/>
            <w:shd w:val="clear" w:color="auto" w:fill="D9E1F2"/>
            <w:vAlign w:val="center"/>
          </w:tcPr>
          <w:p w:rsidR="008B762F" w:rsidRDefault="00F7615D">
            <w:pPr>
              <w:spacing w:after="0" w:line="200" w:lineRule="auto"/>
              <w:jc w:val="left"/>
            </w:pPr>
            <w:r>
              <w:rPr>
                <w:b/>
              </w:rPr>
              <w:t>2025</w:t>
            </w:r>
          </w:p>
        </w:tc>
        <w:tc>
          <w:tcPr>
            <w:tcW w:w="0" w:type="auto"/>
            <w:shd w:val="clear" w:color="auto" w:fill="D9E1F2"/>
            <w:vAlign w:val="center"/>
          </w:tcPr>
          <w:p w:rsidR="008B762F"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Mbulimi me hapësira të gjelbërta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Raporti i sipërfaqes së gjelbëruar kundrejt popullsisë totale të bashkisë, m2/banor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9.56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Rritja e mbulimit me shërbimin e menaxhimit të mbetjeve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Raporti në % i popullsisë së mbuluar me shërbimin e menaxhimit të mbetjeve ndaj popullsisë totale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46.1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46.17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46.05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46.05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46.05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Rritja e territorit të mbuluar me shërbimin e menaxhimit të mbetjeve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Raporti në % i sipërfaqes së mbuluar me shërbimin e menaxhimit të mbetjeve kundrejt sipërfaqes totale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Rritja e sipërfaqes publike të mbuluar me ndriçim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Raporti në % i sipërfaqes publike të mbuluar me ndriçim kundrejt sipërfaqes totale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8.06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13.44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16.13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16.13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16.13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18.81</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p>
    <w:p w:rsidR="005745F5" w:rsidRDefault="00ED2D5A"/>
    <w:p w:rsidR="00681F58" w:rsidRDefault="00F7615D" w:rsidP="00681F58">
      <w:pPr>
        <w:pStyle w:val="indicatorNameStyle"/>
        <w:numPr>
          <w:ilvl w:val="0"/>
          <w:numId w:val="3"/>
        </w:numPr>
      </w:pPr>
      <w:r>
        <w:t>Mbulimi me hapësira të gjelbërta</w:t>
      </w:r>
    </w:p>
    <w:p w:rsidR="00681F58" w:rsidRDefault="00ED2D5A" w:rsidP="00DC2312"/>
    <w:p w:rsidR="00D60D23" w:rsidRDefault="00F7615D" w:rsidP="00DC2312">
      <w:pPr>
        <w:pStyle w:val="indicatordescription"/>
      </w:pPr>
      <w:r>
        <w:t>Raporti i sipërfaqes së gjelbëruar kundrejt popullsisë totale të bashkisë, m2/banor</w:t>
      </w:r>
    </w:p>
    <w:p w:rsidR="0005294B" w:rsidRDefault="00F7615D">
      <w:pPr>
        <w:pStyle w:val="NormalWeb"/>
        <w:divId w:val="345643709"/>
      </w:pPr>
      <w:r>
        <w:t xml:space="preserve">Raporti i sipërfaqes së gjelbëruar kundrejt popullsisë totale në Bashkinë Memaliaj shfaq një stabilitet të theksuar gjatë periudhës së analizuar. Në </w:t>
      </w:r>
      <w:r>
        <w:rPr>
          <w:rStyle w:val="Strong"/>
          <w:rFonts w:eastAsiaTheme="majorEastAsia"/>
        </w:rPr>
        <w:t>2021</w:t>
      </w:r>
      <w:r>
        <w:t xml:space="preserve">, ky raport ishte </w:t>
      </w:r>
      <w:r>
        <w:rPr>
          <w:rStyle w:val="Strong"/>
          <w:rFonts w:eastAsiaTheme="majorEastAsia"/>
        </w:rPr>
        <w:t>9.57 m2/banor</w:t>
      </w:r>
      <w:r>
        <w:t xml:space="preserve">, një vlerë që është pothuajse e njëjtë gjatë viteve në vazhdim. Në </w:t>
      </w:r>
      <w:r>
        <w:rPr>
          <w:rStyle w:val="Strong"/>
          <w:rFonts w:eastAsiaTheme="majorEastAsia"/>
        </w:rPr>
        <w:t>2022</w:t>
      </w:r>
      <w:r>
        <w:t xml:space="preserve">, pak rendiment u pa me një rritje të vogël në </w:t>
      </w:r>
      <w:r>
        <w:rPr>
          <w:rStyle w:val="Strong"/>
          <w:rFonts w:eastAsiaTheme="majorEastAsia"/>
        </w:rPr>
        <w:t>9.58 m2/banor</w:t>
      </w:r>
      <w:r>
        <w:t xml:space="preserve">. Ky trend qëndroi konstant edhe në </w:t>
      </w:r>
      <w:r>
        <w:rPr>
          <w:rStyle w:val="Strong"/>
          <w:rFonts w:eastAsiaTheme="majorEastAsia"/>
        </w:rPr>
        <w:t>2023</w:t>
      </w:r>
      <w:r>
        <w:t xml:space="preserve">, me të njëjtën vlerë prej </w:t>
      </w:r>
      <w:r>
        <w:rPr>
          <w:rStyle w:val="Strong"/>
          <w:rFonts w:eastAsiaTheme="majorEastAsia"/>
        </w:rPr>
        <w:t>9.58 m2/banor</w:t>
      </w:r>
      <w:r>
        <w:t xml:space="preserve">. Në vitet e mëvonshme,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të dhënat tregojnë një rikthim në vlerën </w:t>
      </w:r>
      <w:r>
        <w:rPr>
          <w:rStyle w:val="Strong"/>
          <w:rFonts w:eastAsiaTheme="majorEastAsia"/>
        </w:rPr>
        <w:t>9.56 m2/banor</w:t>
      </w:r>
      <w:r>
        <w:t>. Ky stabilitet sugjeron se nuk ka pasur zgjerim të madh në hapësira të gjelbëruara apo ndryshim të konsiderueshëm në popullsinë e bashkisë. Ruajtja e një norme të tillë mund të tregojë një menaxhim të qëndrueshëm të zonave të gjelbëruara. Megjithatë, mungesa e rritjes në këtë raport mund të sinjalizoje nevojën për investime dhe zhvillime të reja në infrastrukturën e gjelbër. Përmirësimi i këtij treguesi do të kërkonte politika aktive të gjelbërimit dhe planifikim urbanistik të avancuar. Raporti aktual është mbi standardet minimale të rekomanduara për hapësira të gjelbërta në zonat urbane, por kapaciteti për përmirësim mbetet.</w:t>
      </w:r>
    </w:p>
    <w:p w:rsidR="00D60D23" w:rsidRDefault="00ED2D5A" w:rsidP="00681F58"/>
    <w:p w:rsidR="00822F95" w:rsidRDefault="00F7615D">
      <w:r>
        <w:rPr>
          <w:noProof/>
        </w:rPr>
        <w:lastRenderedPageBreak/>
        <w:drawing>
          <wp:inline distT="0" distB="0" distL="0" distR="0">
            <wp:extent cx="5486400" cy="3200400"/>
            <wp:effectExtent l="0" t="0" r="0" b="0"/>
            <wp:docPr id="2430856" name="Chart 2430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D52FA" w:rsidRDefault="00ED2D5A" w:rsidP="0030311D"/>
    <w:p w:rsidR="005D52FA" w:rsidRDefault="00ED2D5A" w:rsidP="0030311D"/>
    <w:p w:rsidR="005D52FA" w:rsidRDefault="00ED2D5A" w:rsidP="0030311D"/>
    <w:p w:rsidR="005745F5" w:rsidRDefault="00ED2D5A"/>
    <w:p w:rsidR="00681F58" w:rsidRDefault="00F7615D" w:rsidP="00681F58">
      <w:pPr>
        <w:pStyle w:val="indicatorNameStyle"/>
        <w:numPr>
          <w:ilvl w:val="0"/>
          <w:numId w:val="3"/>
        </w:numPr>
      </w:pPr>
      <w:r>
        <w:t>Rritja e sipërfaqes publike të mbuluar me ndriçim</w:t>
      </w:r>
    </w:p>
    <w:p w:rsidR="00681F58" w:rsidRDefault="00ED2D5A" w:rsidP="00DC2312"/>
    <w:p w:rsidR="00D60D23" w:rsidRDefault="00F7615D" w:rsidP="00DC2312">
      <w:pPr>
        <w:pStyle w:val="indicatordescription"/>
      </w:pPr>
      <w:r>
        <w:t>Raporti në % i sipërfaqes publike të mbuluar me ndriçim kundrejt sipërfaqes totale të bashkisë</w:t>
      </w:r>
    </w:p>
    <w:p w:rsidR="0005294B" w:rsidRDefault="00F7615D">
      <w:pPr>
        <w:pStyle w:val="NormalWeb"/>
        <w:divId w:val="1185560367"/>
      </w:pPr>
      <w:r>
        <w:t xml:space="preserve">Raporti i sipërfaqes publike të mbuluar me ndriçim në bashkinë Memaliaj ka shënuar një rritje progresive që nga viti </w:t>
      </w:r>
      <w:r>
        <w:rPr>
          <w:rStyle w:val="Strong"/>
          <w:rFonts w:eastAsiaTheme="majorEastAsia"/>
        </w:rPr>
        <w:t>2021</w:t>
      </w:r>
      <w:r>
        <w:t xml:space="preserve"> deri në </w:t>
      </w:r>
      <w:r>
        <w:rPr>
          <w:rStyle w:val="Strong"/>
          <w:rFonts w:eastAsiaTheme="majorEastAsia"/>
        </w:rPr>
        <w:t>2026</w:t>
      </w:r>
      <w:r>
        <w:t xml:space="preserve">. Në </w:t>
      </w:r>
      <w:r>
        <w:rPr>
          <w:rStyle w:val="Strong"/>
          <w:rFonts w:eastAsiaTheme="majorEastAsia"/>
        </w:rPr>
        <w:t>2021</w:t>
      </w:r>
      <w:r>
        <w:t xml:space="preserve">, vetëm </w:t>
      </w:r>
      <w:r>
        <w:rPr>
          <w:rStyle w:val="Strong"/>
          <w:rFonts w:eastAsiaTheme="majorEastAsia"/>
        </w:rPr>
        <w:t>8.06%</w:t>
      </w:r>
      <w:r>
        <w:t xml:space="preserve"> e sipërfaqes publike ishte e ndriçuar. Në vitin </w:t>
      </w:r>
      <w:r>
        <w:rPr>
          <w:rStyle w:val="Strong"/>
          <w:rFonts w:eastAsiaTheme="majorEastAsia"/>
        </w:rPr>
        <w:t>2022</w:t>
      </w:r>
      <w:r>
        <w:t xml:space="preserve">, ka pasur një përmirësim të dukshëm me përqindjen që u rrit në </w:t>
      </w:r>
      <w:r>
        <w:rPr>
          <w:rStyle w:val="Strong"/>
          <w:rFonts w:eastAsiaTheme="majorEastAsia"/>
        </w:rPr>
        <w:t>13.44%</w:t>
      </w:r>
      <w:r>
        <w:t xml:space="preserve">. Rritja vazhdoi në </w:t>
      </w:r>
      <w:r>
        <w:rPr>
          <w:rStyle w:val="Strong"/>
          <w:rFonts w:eastAsiaTheme="majorEastAsia"/>
        </w:rPr>
        <w:t>2023</w:t>
      </w:r>
      <w:r>
        <w:t xml:space="preserve">, duke arritur në </w:t>
      </w:r>
      <w:r>
        <w:rPr>
          <w:rStyle w:val="Strong"/>
          <w:rFonts w:eastAsiaTheme="majorEastAsia"/>
        </w:rPr>
        <w:t>16.13%</w:t>
      </w:r>
      <w:r>
        <w:t xml:space="preserve">, një përqindje që u mbajt e qëndrueshme deri në </w:t>
      </w:r>
      <w:r>
        <w:rPr>
          <w:rStyle w:val="Strong"/>
          <w:rFonts w:eastAsiaTheme="majorEastAsia"/>
        </w:rPr>
        <w:t>2025</w:t>
      </w:r>
      <w:r>
        <w:t xml:space="preserve">. Megjithëse nuk pati ndryshime për </w:t>
      </w:r>
      <w:r>
        <w:rPr>
          <w:rStyle w:val="Strong"/>
          <w:rFonts w:eastAsiaTheme="majorEastAsia"/>
        </w:rPr>
        <w:t>2024</w:t>
      </w:r>
      <w:r>
        <w:t xml:space="preserve"> dhe </w:t>
      </w:r>
      <w:r>
        <w:rPr>
          <w:rStyle w:val="Strong"/>
          <w:rFonts w:eastAsiaTheme="majorEastAsia"/>
        </w:rPr>
        <w:t>2025</w:t>
      </w:r>
      <w:r>
        <w:t xml:space="preserve">, </w:t>
      </w:r>
      <w:r>
        <w:rPr>
          <w:rStyle w:val="Strong"/>
          <w:rFonts w:eastAsiaTheme="majorEastAsia"/>
        </w:rPr>
        <w:t>2026</w:t>
      </w:r>
      <w:r>
        <w:t xml:space="preserve"> pa një tjetër përmirësim, me përqindjen që arriti </w:t>
      </w:r>
      <w:r>
        <w:rPr>
          <w:rStyle w:val="Strong"/>
          <w:rFonts w:eastAsiaTheme="majorEastAsia"/>
        </w:rPr>
        <w:t>18.81%</w:t>
      </w:r>
      <w:r>
        <w:t>. Ky trend pozitiv tregon për një angazhim të vazhdueshëm në përmirësimin e infrastrukturës së ndriçimit publik. Përmirësimet në ndriçim mund të kenë ndikime pozitive në sigurinë dhe cilësinë e jetesës për banorët e Memaliajt. Investimet në ndriçim perkasin përpjekjet për të përmirësuar kushtet infrastrukturore të qytetit. Në përgjithësi, rritja e ndriçimit publik ka një rol të rëndësishëm në jetën e përditshme të komunitetit në këtë bashki.</w:t>
      </w:r>
    </w:p>
    <w:p w:rsidR="00D60D23" w:rsidRDefault="00ED2D5A" w:rsidP="00681F58"/>
    <w:p w:rsidR="00822F95" w:rsidRDefault="00F7615D">
      <w:r>
        <w:rPr>
          <w:noProof/>
        </w:rPr>
        <w:lastRenderedPageBreak/>
        <w:drawing>
          <wp:inline distT="0" distB="0" distL="0" distR="0">
            <wp:extent cx="5486400" cy="3200400"/>
            <wp:effectExtent l="0" t="0" r="0" b="0"/>
            <wp:docPr id="2430858" name="Chart 2430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52FA" w:rsidRDefault="00ED2D5A" w:rsidP="0030311D"/>
    <w:p w:rsidR="005D52FA" w:rsidRDefault="00ED2D5A" w:rsidP="0030311D"/>
    <w:p w:rsidR="005D52FA" w:rsidRDefault="00ED2D5A" w:rsidP="0030311D"/>
    <w:p w:rsidR="00086748" w:rsidRDefault="00ED2D5A" w:rsidP="00EE4A4A">
      <w:pPr>
        <w:pStyle w:val="pharagraphSpacing"/>
      </w:pPr>
    </w:p>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6974"/>
        <w:gridCol w:w="936"/>
        <w:gridCol w:w="936"/>
        <w:gridCol w:w="936"/>
        <w:gridCol w:w="1056"/>
        <w:gridCol w:w="1056"/>
        <w:gridCol w:w="105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8B762F" w:rsidRDefault="00F7615D">
            <w:pPr>
              <w:spacing w:after="0" w:line="200" w:lineRule="auto"/>
              <w:jc w:val="left"/>
            </w:pPr>
            <w:r>
              <w:rPr>
                <w:b/>
              </w:rPr>
              <w:t>2021</w:t>
            </w:r>
          </w:p>
        </w:tc>
        <w:tc>
          <w:tcPr>
            <w:tcW w:w="0" w:type="auto"/>
            <w:shd w:val="clear" w:color="auto" w:fill="D9E1F2"/>
            <w:vAlign w:val="center"/>
          </w:tcPr>
          <w:p w:rsidR="008B762F" w:rsidRDefault="00F7615D">
            <w:pPr>
              <w:spacing w:after="0" w:line="200" w:lineRule="auto"/>
              <w:jc w:val="left"/>
            </w:pPr>
            <w:r>
              <w:rPr>
                <w:b/>
              </w:rPr>
              <w:t>2022</w:t>
            </w:r>
          </w:p>
        </w:tc>
        <w:tc>
          <w:tcPr>
            <w:tcW w:w="0" w:type="auto"/>
            <w:shd w:val="clear" w:color="auto" w:fill="D9E1F2"/>
            <w:vAlign w:val="center"/>
          </w:tcPr>
          <w:p w:rsidR="008B762F" w:rsidRDefault="00F7615D">
            <w:pPr>
              <w:spacing w:after="0" w:line="200" w:lineRule="auto"/>
              <w:jc w:val="left"/>
            </w:pPr>
            <w:r>
              <w:rPr>
                <w:b/>
              </w:rPr>
              <w:t>2023</w:t>
            </w:r>
          </w:p>
        </w:tc>
        <w:tc>
          <w:tcPr>
            <w:tcW w:w="0" w:type="auto"/>
            <w:shd w:val="clear" w:color="auto" w:fill="D9E1F2"/>
            <w:vAlign w:val="center"/>
          </w:tcPr>
          <w:p w:rsidR="008B762F" w:rsidRDefault="00F7615D">
            <w:pPr>
              <w:spacing w:after="0" w:line="200" w:lineRule="auto"/>
              <w:jc w:val="left"/>
            </w:pPr>
            <w:r>
              <w:rPr>
                <w:b/>
              </w:rPr>
              <w:t>2024</w:t>
            </w:r>
          </w:p>
        </w:tc>
        <w:tc>
          <w:tcPr>
            <w:tcW w:w="0" w:type="auto"/>
            <w:shd w:val="clear" w:color="auto" w:fill="D9E1F2"/>
            <w:vAlign w:val="center"/>
          </w:tcPr>
          <w:p w:rsidR="008B762F" w:rsidRDefault="00F7615D">
            <w:pPr>
              <w:spacing w:after="0" w:line="200" w:lineRule="auto"/>
              <w:jc w:val="left"/>
            </w:pPr>
            <w:r>
              <w:rPr>
                <w:b/>
              </w:rPr>
              <w:t>2025</w:t>
            </w:r>
          </w:p>
        </w:tc>
        <w:tc>
          <w:tcPr>
            <w:tcW w:w="0" w:type="auto"/>
            <w:shd w:val="clear" w:color="auto" w:fill="D9E1F2"/>
            <w:vAlign w:val="center"/>
          </w:tcPr>
          <w:p w:rsidR="008B762F"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Sipërfaqe e gjelbër në total (në m2)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192625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Sipërfaqja gjithësej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Trotuarë në total (në km linear)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Fondi total i pemëve dekorative / gjelbëruese të bashkisë (rrenje peme)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Kazane plehrash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Pika të vendqëndrimit të kontenierëve për grumbullimin e mbetjeve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Sipërfaqja publike e bashkisë (në m2)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372.07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Të ardhura nga tarifa e ndriçimit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105744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Të ardhura nga tarifa e gjelbërimit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111445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146000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1700000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1702000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1704000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Makineri pastrimi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Numri varrezave publike që mirëmbahen / shërbehen nga bashkia në vitin korent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Numri total i njësive administrative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Të ardhura nga tarifat mjedisore në vit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556609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655810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660000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670000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680000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Km linear trotuarë për këmbësorë në gjendje të mirë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Numri i pemëve dekorative të reja të shtuara në vit në hapësirat publike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Frekuenca e grumbullimit dhe transportimit të mbetjeve në zonat rurale (ditë në javë)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Frekuenca e grumbullimit dhe transportimit të mbetjeve në zonat urbane (ditë në javë)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lastRenderedPageBreak/>
              <w:t>Numri i popullsisë në bashki e mbuluar me shërbimin e menaxhimit të mbetjeve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9279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20100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9280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9280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9280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9280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Sipërfaqe e hapësirave publike e mbuluar me ndriçim në km2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B762F" w:rsidRDefault="00F7615D">
            <w:pPr>
              <w:spacing w:after="0" w:line="240" w:lineRule="auto"/>
            </w:pPr>
            <w:r>
              <w:t>70</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Të ardhura nga tarifa e gjelbërimit (në lekë)</w:t>
      </w:r>
    </w:p>
    <w:p w:rsidR="001F32AA" w:rsidRDefault="00ED2D5A" w:rsidP="006A3D44"/>
    <w:p w:rsidR="0005294B" w:rsidRDefault="00F7615D">
      <w:pPr>
        <w:pStyle w:val="NormalWeb"/>
        <w:divId w:val="398327957"/>
      </w:pPr>
      <w:r>
        <w:t xml:space="preserve">Të dhënat e bashkisë Memaliaj për të ardhurat nga tarifa e gjelbërimit tregojnë një rritje të konsiderueshme në kohë. Në vitin </w:t>
      </w:r>
      <w:r>
        <w:rPr>
          <w:rStyle w:val="Strong"/>
          <w:rFonts w:eastAsiaTheme="majorEastAsia"/>
        </w:rPr>
        <w:t>2021</w:t>
      </w:r>
      <w:r>
        <w:t xml:space="preserve">, të ardhurat ishin </w:t>
      </w:r>
      <w:r>
        <w:rPr>
          <w:rStyle w:val="Strong"/>
          <w:rFonts w:eastAsiaTheme="majorEastAsia"/>
        </w:rPr>
        <w:t>111,445</w:t>
      </w:r>
      <w:r>
        <w:t xml:space="preserve"> lekë, duke shënuar një nivel fillestar modest. Në </w:t>
      </w:r>
      <w:r>
        <w:rPr>
          <w:rStyle w:val="Strong"/>
          <w:rFonts w:eastAsiaTheme="majorEastAsia"/>
        </w:rPr>
        <w:t>2022</w:t>
      </w:r>
      <w:r>
        <w:t xml:space="preserve">, shënohet një rritje e ardhurave në </w:t>
      </w:r>
      <w:r>
        <w:rPr>
          <w:rStyle w:val="Strong"/>
          <w:rFonts w:eastAsiaTheme="majorEastAsia"/>
        </w:rPr>
        <w:t>146,000</w:t>
      </w:r>
      <w:r>
        <w:t xml:space="preserve"> lekë. Një rritje më dramatike vihet re në </w:t>
      </w:r>
      <w:r>
        <w:rPr>
          <w:rStyle w:val="Strong"/>
          <w:rFonts w:eastAsiaTheme="majorEastAsia"/>
        </w:rPr>
        <w:t>2023</w:t>
      </w:r>
      <w:r>
        <w:t xml:space="preserve">, me të ardhurat që arrijnë në </w:t>
      </w:r>
      <w:r>
        <w:rPr>
          <w:rStyle w:val="Strong"/>
          <w:rFonts w:eastAsiaTheme="majorEastAsia"/>
        </w:rPr>
        <w:t>500,000</w:t>
      </w:r>
      <w:r>
        <w:t xml:space="preserve"> lekë. Kjo rritje vazhdon ndjeshëm në </w:t>
      </w:r>
      <w:r>
        <w:rPr>
          <w:rStyle w:val="Strong"/>
          <w:rFonts w:eastAsiaTheme="majorEastAsia"/>
        </w:rPr>
        <w:t>2024</w:t>
      </w:r>
      <w:r>
        <w:t xml:space="preserve">, ku të ardhurat arrijnë vlerën </w:t>
      </w:r>
      <w:r>
        <w:rPr>
          <w:rStyle w:val="Strong"/>
          <w:rFonts w:eastAsiaTheme="majorEastAsia"/>
        </w:rPr>
        <w:t>1,700,000</w:t>
      </w:r>
      <w:r>
        <w:t xml:space="preserve"> lekë. Në </w:t>
      </w:r>
      <w:r>
        <w:rPr>
          <w:rStyle w:val="Strong"/>
          <w:rFonts w:eastAsiaTheme="majorEastAsia"/>
        </w:rPr>
        <w:t>2025</w:t>
      </w:r>
      <w:r>
        <w:t xml:space="preserve">, të ardhurat rriten paksa në </w:t>
      </w:r>
      <w:r>
        <w:rPr>
          <w:rStyle w:val="Strong"/>
          <w:rFonts w:eastAsiaTheme="majorEastAsia"/>
        </w:rPr>
        <w:t>1,702,000</w:t>
      </w:r>
      <w:r>
        <w:t xml:space="preserve"> lekë. Viti </w:t>
      </w:r>
      <w:r>
        <w:rPr>
          <w:rStyle w:val="Strong"/>
          <w:rFonts w:eastAsiaTheme="majorEastAsia"/>
        </w:rPr>
        <w:t>2026</w:t>
      </w:r>
      <w:r>
        <w:t xml:space="preserve"> shënon një rritje të ngadaltë por të vazhdueshme, me të ardhurat që arrijnë </w:t>
      </w:r>
      <w:r>
        <w:rPr>
          <w:rStyle w:val="Strong"/>
          <w:rFonts w:eastAsiaTheme="majorEastAsia"/>
        </w:rPr>
        <w:t>1,704,000</w:t>
      </w:r>
      <w:r>
        <w:t xml:space="preserve"> lekë. Kjo tendencë rritjeje tregon për një përmirësim të mundshëm në shërbimet e gjelbërimit dhe investimet në mjedis në këtë bashki. Përmirësimi i administrimit të taksave dhe vetë vendosja e tarifave më efektive mund të kenë kontribuar në këto ndryshime të ndjeshme. Këto të dhëna tregojnë një angazhim të shtuar të bashkisë në përmirësimin e kushteve mjedisore për banorët e saj.</w:t>
      </w:r>
    </w:p>
    <w:p w:rsidR="00273E47" w:rsidRDefault="00ED2D5A" w:rsidP="001F32AA"/>
    <w:p w:rsidR="00ED5A1B" w:rsidRDefault="00F7615D" w:rsidP="001F32AA">
      <w:r>
        <w:rPr>
          <w:noProof/>
        </w:rPr>
        <w:drawing>
          <wp:inline distT="0" distB="0" distL="0" distR="0">
            <wp:extent cx="5486400" cy="3200400"/>
            <wp:effectExtent l="0" t="0" r="0" b="0"/>
            <wp:docPr id="2430860" name="Chart 2430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D52FA" w:rsidRDefault="00ED2D5A" w:rsidP="0030311D"/>
    <w:p w:rsidR="00395608" w:rsidRPr="00395608" w:rsidRDefault="00F7615D" w:rsidP="009E0349">
      <w:pPr>
        <w:pStyle w:val="sherbimiHeader1"/>
        <w:ind w:firstLine="720"/>
      </w:pPr>
      <w:bookmarkStart w:id="40" w:name="_Toc213857418"/>
      <w:r>
        <w:lastRenderedPageBreak/>
        <w:t>Rrjeti rrugor rural</w:t>
      </w:r>
      <w:bookmarkEnd w:id="4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Ky shërbim përfshin ndërtimin, mirëmbajtjen dhe sinjalizimin e sistemeve rrugore dhe strukturave të transportit, duke përfshirë rrugët, urat, tunelët, parkimet, terminalet e autobusëve, rrugët këmbësore dhe korsitë për biçikleta, nën administrimin dhe përgjegjësinë e njësisë së vetëqeverisjes vendore. Ai përfshin gjithashtu kryerjen e studimeve për rehabilitimin, përmirësimin dhe ndërtimin e rrugëve të reja, si dhe marrjen e masave për lehtësimin e trafikut dhe kontrollin e rrjetit rrugor rural të njësisë.</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96128"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430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430868" name="Picture 243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39" type="#_x0000_t202" style="position:absolute;left:0;text-align:left;margin-left:.7pt;margin-top:21pt;width:471.75pt;height:20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" filled="f" stroked="f">
                <v:textbox>
                  <w:txbxContent>
                    <w:p w:rsidR="00925CDB" w:rsidRDefault="00F7615D">
                      <w:r>
                        <w:rPr>
                          <w:noProof/>
                        </w:rPr>
                        <w:drawing>
                          <wp:inline distT="0" distB="0" distL="0" distR="0" wp14:editId="50D07946">
                            <wp:extent cx="5800000" cy="2420000"/>
                            <wp:effectExtent l="0" t="0" r="0" b="0"/>
                            <wp:docPr id="2430868" name="Picture 243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154"/>
        <w:gridCol w:w="5260"/>
        <w:gridCol w:w="756"/>
        <w:gridCol w:w="756"/>
        <w:gridCol w:w="756"/>
        <w:gridCol w:w="756"/>
        <w:gridCol w:w="756"/>
        <w:gridCol w:w="75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8C1AD0" w:rsidRDefault="00F7615D">
            <w:pPr>
              <w:spacing w:after="0" w:line="200" w:lineRule="auto"/>
              <w:jc w:val="left"/>
            </w:pPr>
            <w:r>
              <w:rPr>
                <w:b/>
              </w:rPr>
              <w:t>Përshkrim</w:t>
            </w:r>
          </w:p>
        </w:tc>
        <w:tc>
          <w:tcPr>
            <w:tcW w:w="0" w:type="auto"/>
            <w:shd w:val="clear" w:color="auto" w:fill="D9E1F2"/>
            <w:vAlign w:val="center"/>
          </w:tcPr>
          <w:p w:rsidR="008C1AD0" w:rsidRDefault="00F7615D">
            <w:pPr>
              <w:spacing w:after="0" w:line="200" w:lineRule="auto"/>
              <w:jc w:val="left"/>
            </w:pPr>
            <w:r>
              <w:rPr>
                <w:b/>
              </w:rPr>
              <w:t>2021</w:t>
            </w:r>
          </w:p>
        </w:tc>
        <w:tc>
          <w:tcPr>
            <w:tcW w:w="0" w:type="auto"/>
            <w:shd w:val="clear" w:color="auto" w:fill="D9E1F2"/>
            <w:vAlign w:val="center"/>
          </w:tcPr>
          <w:p w:rsidR="008C1AD0" w:rsidRDefault="00F7615D">
            <w:pPr>
              <w:spacing w:after="0" w:line="200" w:lineRule="auto"/>
              <w:jc w:val="left"/>
            </w:pPr>
            <w:r>
              <w:rPr>
                <w:b/>
              </w:rPr>
              <w:t>2022</w:t>
            </w:r>
          </w:p>
        </w:tc>
        <w:tc>
          <w:tcPr>
            <w:tcW w:w="0" w:type="auto"/>
            <w:shd w:val="clear" w:color="auto" w:fill="D9E1F2"/>
            <w:vAlign w:val="center"/>
          </w:tcPr>
          <w:p w:rsidR="008C1AD0" w:rsidRDefault="00F7615D">
            <w:pPr>
              <w:spacing w:after="0" w:line="200" w:lineRule="auto"/>
              <w:jc w:val="left"/>
            </w:pPr>
            <w:r>
              <w:rPr>
                <w:b/>
              </w:rPr>
              <w:t>2023</w:t>
            </w:r>
          </w:p>
        </w:tc>
        <w:tc>
          <w:tcPr>
            <w:tcW w:w="0" w:type="auto"/>
            <w:shd w:val="clear" w:color="auto" w:fill="D9E1F2"/>
            <w:vAlign w:val="center"/>
          </w:tcPr>
          <w:p w:rsidR="008C1AD0" w:rsidRDefault="00F7615D">
            <w:pPr>
              <w:spacing w:after="0" w:line="200" w:lineRule="auto"/>
              <w:jc w:val="left"/>
            </w:pPr>
            <w:r>
              <w:rPr>
                <w:b/>
              </w:rPr>
              <w:t>2024</w:t>
            </w:r>
          </w:p>
        </w:tc>
        <w:tc>
          <w:tcPr>
            <w:tcW w:w="0" w:type="auto"/>
            <w:shd w:val="clear" w:color="auto" w:fill="D9E1F2"/>
            <w:vAlign w:val="center"/>
          </w:tcPr>
          <w:p w:rsidR="008C1AD0" w:rsidRDefault="00F7615D">
            <w:pPr>
              <w:spacing w:after="0" w:line="200" w:lineRule="auto"/>
              <w:jc w:val="left"/>
            </w:pPr>
            <w:r>
              <w:rPr>
                <w:b/>
              </w:rPr>
              <w:t>2025</w:t>
            </w:r>
          </w:p>
        </w:tc>
        <w:tc>
          <w:tcPr>
            <w:tcW w:w="0" w:type="auto"/>
            <w:shd w:val="clear" w:color="auto" w:fill="D9E1F2"/>
            <w:vAlign w:val="center"/>
          </w:tcPr>
          <w:p w:rsidR="008C1AD0"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Përmirësimi i  rrjetit rrugor qytetas dhe ndërqytetas</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Raporti në % i rrjetit rrugor të shtruar (asfaltuar ose me çakull)  ndaj rrjetit rrugor total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26.67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Mirëmbajtja e rrjetit rrugor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Raporti në % i rrjetit rrugor të mirëmbajtur ndaj rrjetit rrugor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86.67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23.33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23.33</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9C5521" w:rsidRPr="00EE4A4A" w:rsidRDefault="00F7615D" w:rsidP="000224A1">
      <w:pPr>
        <w:pStyle w:val="NormalWeb"/>
      </w:pPr>
      <w:r>
        <w:lastRenderedPageBreak/>
        <w:t>Më poshtë do të gjeni treguesit e analizuar, të paraqitur gjithashtu në formë grafike për një kuptim më të lehtë dhe vizual.</w:t>
      </w:r>
    </w:p>
    <w:p w:rsidR="007A309E" w:rsidRDefault="00ED2D5A" w:rsidP="00EE4A4A">
      <w:pPr>
        <w:pStyle w:val="pharagraphSpacing"/>
      </w:pPr>
    </w:p>
    <w:p w:rsidR="005745F5" w:rsidRDefault="00ED2D5A"/>
    <w:p w:rsidR="00681F58" w:rsidRDefault="00F7615D" w:rsidP="00681F58">
      <w:pPr>
        <w:pStyle w:val="indicatorNameStyle"/>
        <w:numPr>
          <w:ilvl w:val="0"/>
          <w:numId w:val="3"/>
        </w:numPr>
      </w:pPr>
      <w:r>
        <w:t>Përmirësimi i  rrjetit rrugor qytetas dhe ndërqytetas</w:t>
      </w:r>
    </w:p>
    <w:p w:rsidR="00681F58" w:rsidRDefault="00ED2D5A" w:rsidP="00DC2312"/>
    <w:p w:rsidR="00D60D23" w:rsidRDefault="00F7615D" w:rsidP="00DC2312">
      <w:pPr>
        <w:pStyle w:val="indicatordescription"/>
      </w:pPr>
      <w:r>
        <w:t>Raporti në % i rrjetit rrugor të shtruar (asfaltuar ose me çakull)  ndaj rrjetit rrugor total të bashkisë</w:t>
      </w:r>
    </w:p>
    <w:p w:rsidR="0005294B" w:rsidRDefault="00F7615D">
      <w:pPr>
        <w:pStyle w:val="NormalWeb"/>
        <w:divId w:val="681198664"/>
      </w:pPr>
      <w:r>
        <w:t xml:space="preserve">Të dhënat tregojnë përqindjen e rrjetit rrugor të shtruar në Bashkinë Memaliaj në krahasim me rrjetin rrugor total nga viti </w:t>
      </w:r>
      <w:r>
        <w:rPr>
          <w:rStyle w:val="Strong"/>
          <w:rFonts w:eastAsiaTheme="majorEastAsia"/>
        </w:rPr>
        <w:t>2021</w:t>
      </w:r>
      <w:r>
        <w:t xml:space="preserve"> deri në </w:t>
      </w:r>
      <w:r>
        <w:rPr>
          <w:rStyle w:val="Strong"/>
          <w:rFonts w:eastAsiaTheme="majorEastAsia"/>
        </w:rPr>
        <w:t>2026</w:t>
      </w:r>
      <w:r>
        <w:t xml:space="preserve">. Në </w:t>
      </w:r>
      <w:r>
        <w:rPr>
          <w:rStyle w:val="Strong"/>
          <w:rFonts w:eastAsiaTheme="majorEastAsia"/>
        </w:rPr>
        <w:t>2021</w:t>
      </w:r>
      <w:r>
        <w:t xml:space="preserve">, vetëm </w:t>
      </w:r>
      <w:r>
        <w:rPr>
          <w:rStyle w:val="Strong"/>
          <w:rFonts w:eastAsiaTheme="majorEastAsia"/>
        </w:rPr>
        <w:t>20%</w:t>
      </w:r>
      <w:r>
        <w:t xml:space="preserve"> e rrjetit rrugor ishte i shtruar. Viti </w:t>
      </w:r>
      <w:r>
        <w:rPr>
          <w:rStyle w:val="Strong"/>
          <w:rFonts w:eastAsiaTheme="majorEastAsia"/>
        </w:rPr>
        <w:t>2022</w:t>
      </w:r>
      <w:r>
        <w:t xml:space="preserve"> pa një përmirësim të dukshëm me </w:t>
      </w:r>
      <w:r>
        <w:rPr>
          <w:rStyle w:val="Strong"/>
          <w:rFonts w:eastAsiaTheme="majorEastAsia"/>
        </w:rPr>
        <w:t>33.33%</w:t>
      </w:r>
      <w:r>
        <w:t xml:space="preserve"> të rrjetit të shtruar. Në </w:t>
      </w:r>
      <w:r>
        <w:rPr>
          <w:rStyle w:val="Strong"/>
          <w:rFonts w:eastAsiaTheme="majorEastAsia"/>
        </w:rPr>
        <w:t>2023</w:t>
      </w:r>
      <w:r>
        <w:t xml:space="preserve">, kjo përqindje ra në </w:t>
      </w:r>
      <w:r>
        <w:rPr>
          <w:rStyle w:val="Strong"/>
          <w:rFonts w:eastAsiaTheme="majorEastAsia"/>
        </w:rPr>
        <w:t>26.67%</w:t>
      </w:r>
      <w:r>
        <w:t xml:space="preserve">, duke treguar një ulje në investimet ose mirëmbajtjen e rrugëve të shtruara. Në vitin </w:t>
      </w:r>
      <w:r>
        <w:rPr>
          <w:rStyle w:val="Strong"/>
          <w:rFonts w:eastAsiaTheme="majorEastAsia"/>
        </w:rPr>
        <w:t>2024</w:t>
      </w:r>
      <w:r>
        <w:t xml:space="preserve"> dhe </w:t>
      </w:r>
      <w:r>
        <w:rPr>
          <w:rStyle w:val="Strong"/>
          <w:rFonts w:eastAsiaTheme="majorEastAsia"/>
        </w:rPr>
        <w:t>2025</w:t>
      </w:r>
      <w:r>
        <w:t xml:space="preserve">, përqindja e rrugëve të shtruara mbeti konstante në </w:t>
      </w:r>
      <w:r>
        <w:rPr>
          <w:rStyle w:val="Strong"/>
          <w:rFonts w:eastAsiaTheme="majorEastAsia"/>
        </w:rPr>
        <w:t>30%</w:t>
      </w:r>
      <w:r>
        <w:t xml:space="preserve">. Kjo tregon një stabilizim të situatës me një nivel më të lartë se ai i vitit </w:t>
      </w:r>
      <w:r>
        <w:rPr>
          <w:rStyle w:val="Strong"/>
          <w:rFonts w:eastAsiaTheme="majorEastAsia"/>
        </w:rPr>
        <w:t>2021</w:t>
      </w:r>
      <w:r>
        <w:t xml:space="preserve">, por ende më i ulët se ai i vitit </w:t>
      </w:r>
      <w:r>
        <w:rPr>
          <w:rStyle w:val="Strong"/>
          <w:rFonts w:eastAsiaTheme="majorEastAsia"/>
        </w:rPr>
        <w:t>2022</w:t>
      </w:r>
      <w:r>
        <w:t xml:space="preserve">. Viti </w:t>
      </w:r>
      <w:r>
        <w:rPr>
          <w:rStyle w:val="Strong"/>
          <w:rFonts w:eastAsiaTheme="majorEastAsia"/>
        </w:rPr>
        <w:t>2026</w:t>
      </w:r>
      <w:r>
        <w:t xml:space="preserve"> shënon një kthim në pikën e fillimit me </w:t>
      </w:r>
      <w:r>
        <w:rPr>
          <w:rStyle w:val="Strong"/>
          <w:rFonts w:eastAsiaTheme="majorEastAsia"/>
        </w:rPr>
        <w:t>0%</w:t>
      </w:r>
      <w:r>
        <w:t xml:space="preserve"> të rrjetit të shtruar, një rënie drastike që nënkupton mungesën e investimeve ose mirëmbajtjes në rrjetin rrugor. Këto të dhëna sugjerojnë një nevojë urgjente për ndërhyrje dhe investime të qëndrueshme për të përmirësuar infrastrukturën rrugore në bashki. Pa investime të vazhdueshme, cilësia e rrjetit rrugor rrezikon të përkeqësohet më tej.</w:t>
      </w:r>
    </w:p>
    <w:p w:rsidR="00D60D23" w:rsidRDefault="00ED2D5A" w:rsidP="00681F58"/>
    <w:p w:rsidR="005745F5" w:rsidRDefault="00F7615D">
      <w:r>
        <w:rPr>
          <w:noProof/>
        </w:rPr>
        <w:drawing>
          <wp:inline distT="0" distB="0" distL="0" distR="0">
            <wp:extent cx="5486400" cy="3200400"/>
            <wp:effectExtent l="0" t="0" r="0" b="0"/>
            <wp:docPr id="2430863" name="Chart 2430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81F58" w:rsidRDefault="00F7615D" w:rsidP="00681F58">
      <w:pPr>
        <w:pStyle w:val="indicatorNameStyle"/>
        <w:numPr>
          <w:ilvl w:val="0"/>
          <w:numId w:val="3"/>
        </w:numPr>
      </w:pPr>
      <w:r>
        <w:lastRenderedPageBreak/>
        <w:t>Mirëmbajtja e rrjetit rrugor</w:t>
      </w:r>
    </w:p>
    <w:p w:rsidR="00681F58" w:rsidRDefault="00ED2D5A" w:rsidP="00DC2312"/>
    <w:p w:rsidR="00D60D23" w:rsidRDefault="00F7615D" w:rsidP="00DC2312">
      <w:pPr>
        <w:pStyle w:val="indicatordescription"/>
      </w:pPr>
      <w:r>
        <w:t>Raporti në % i rrjetit rrugor të mirëmbajtur ndaj rrjetit rrugor total</w:t>
      </w:r>
    </w:p>
    <w:p w:rsidR="0005294B" w:rsidRDefault="00F7615D">
      <w:pPr>
        <w:pStyle w:val="NormalWeb"/>
        <w:divId w:val="823474347"/>
      </w:pPr>
      <w:r>
        <w:t xml:space="preserve">Në vitin </w:t>
      </w:r>
      <w:r>
        <w:rPr>
          <w:rStyle w:val="Strong"/>
          <w:rFonts w:eastAsiaTheme="majorEastAsia"/>
        </w:rPr>
        <w:t>2021</w:t>
      </w:r>
      <w:r>
        <w:t xml:space="preserve">, rrjeti rrugor i mirëmbajtur në bashkinë Memaliaj përbënte </w:t>
      </w:r>
      <w:r>
        <w:rPr>
          <w:rStyle w:val="Strong"/>
          <w:rFonts w:eastAsiaTheme="majorEastAsia"/>
        </w:rPr>
        <w:t>86.67%</w:t>
      </w:r>
      <w:r>
        <w:t xml:space="preserve"> të totalit të rrjetit rrugor. Ky raport arriti në </w:t>
      </w:r>
      <w:r>
        <w:rPr>
          <w:rStyle w:val="Strong"/>
          <w:rFonts w:eastAsiaTheme="majorEastAsia"/>
        </w:rPr>
        <w:t>100%</w:t>
      </w:r>
      <w:r>
        <w:t xml:space="preserve"> në </w:t>
      </w:r>
      <w:r>
        <w:rPr>
          <w:rStyle w:val="Strong"/>
          <w:rFonts w:eastAsiaTheme="majorEastAsia"/>
        </w:rPr>
        <w:t>2022</w:t>
      </w:r>
      <w:r>
        <w:t xml:space="preserve">, duke treguar një mirëmbajtje të plotë të rrugëve ekzistuese. Megjithatë, në </w:t>
      </w:r>
      <w:r>
        <w:rPr>
          <w:rStyle w:val="Strong"/>
          <w:rFonts w:eastAsiaTheme="majorEastAsia"/>
        </w:rPr>
        <w:t>2023</w:t>
      </w:r>
      <w:r>
        <w:t xml:space="preserve">, pati një rënie të theksuar në vetëm </w:t>
      </w:r>
      <w:r>
        <w:rPr>
          <w:rStyle w:val="Strong"/>
          <w:rFonts w:eastAsiaTheme="majorEastAsia"/>
        </w:rPr>
        <w:t>20%</w:t>
      </w:r>
      <w:r>
        <w:t xml:space="preserve">, një rënie alarmante që sugjeron sfida të mëdha në mirëmbajtjen e infrastrukturës rrugore. Për </w:t>
      </w:r>
      <w:r>
        <w:rPr>
          <w:rStyle w:val="Strong"/>
          <w:rFonts w:eastAsiaTheme="majorEastAsia"/>
        </w:rPr>
        <w:t>2024</w:t>
      </w:r>
      <w:r>
        <w:t xml:space="preserve">, kjo shifër u përmirësua lehtë në </w:t>
      </w:r>
      <w:r>
        <w:rPr>
          <w:rStyle w:val="Strong"/>
          <w:rFonts w:eastAsiaTheme="majorEastAsia"/>
        </w:rPr>
        <w:t>23.33%</w:t>
      </w:r>
      <w:r>
        <w:t xml:space="preserve">, megjithatë mbeti larg niveleve të mëparshme. Vitet </w:t>
      </w:r>
      <w:r>
        <w:rPr>
          <w:rStyle w:val="Strong"/>
          <w:rFonts w:eastAsiaTheme="majorEastAsia"/>
        </w:rPr>
        <w:t>2025</w:t>
      </w:r>
      <w:r>
        <w:t xml:space="preserve"> dhe </w:t>
      </w:r>
      <w:r>
        <w:rPr>
          <w:rStyle w:val="Strong"/>
          <w:rFonts w:eastAsiaTheme="majorEastAsia"/>
        </w:rPr>
        <w:t>2026</w:t>
      </w:r>
      <w:r>
        <w:t xml:space="preserve"> nuk treguan përparim, duke mbetur të pandryshuar në </w:t>
      </w:r>
      <w:r>
        <w:rPr>
          <w:rStyle w:val="Strong"/>
          <w:rFonts w:eastAsiaTheme="majorEastAsia"/>
        </w:rPr>
        <w:t>23.33%</w:t>
      </w:r>
      <w:r>
        <w:t>. Kjo situatë tregon për një stagnim në përpjekjet e mirëmbajtjes rrugore gjatë këtyre viteve. Faktori kryesor i braktisjes mund të jetë mungesa e fondeve ose prioritetet e ndryshuara të bashkisë. Ky trend tregon një nevojë për masa të përmirësuara për të kthyer vëmendjen ndaj qëndrueshmërisë infrastrukturore. Nëse nuk ndërhyhet, kjo mund të ketë ndikim negativ në zhvillimin ekonomik dhe cilësinë e jetesës në zonë. Për të ruajtur zhvillimin e qëndrueshëm, është e domosdoshme që programet e mirëmbajtjes dhe investimet në infrastrukturë të rishikohen dhe të përmirësohen.</w:t>
      </w:r>
    </w:p>
    <w:p w:rsidR="00D60D23" w:rsidRDefault="00ED2D5A" w:rsidP="00681F58"/>
    <w:p w:rsidR="00822F95" w:rsidRDefault="00F7615D">
      <w:r>
        <w:rPr>
          <w:noProof/>
        </w:rPr>
        <w:drawing>
          <wp:inline distT="0" distB="0" distL="0" distR="0">
            <wp:extent cx="5486400" cy="3200400"/>
            <wp:effectExtent l="0" t="0" r="0" b="0"/>
            <wp:docPr id="2430864" name="Chart 2430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D52FA" w:rsidRDefault="00ED2D5A" w:rsidP="0030311D"/>
    <w:p w:rsidR="005D52FA" w:rsidRDefault="00ED2D5A" w:rsidP="0030311D"/>
    <w:p w:rsidR="00DB217A" w:rsidRDefault="00ED2D5A" w:rsidP="007A309E">
      <w:pPr>
        <w:sectPr w:rsidR="00DB217A">
          <w:pgSz w:w="12240" w:h="15840"/>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8182"/>
        <w:gridCol w:w="816"/>
        <w:gridCol w:w="816"/>
        <w:gridCol w:w="808"/>
        <w:gridCol w:w="816"/>
        <w:gridCol w:w="816"/>
        <w:gridCol w:w="696"/>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8C1AD0" w:rsidRDefault="00F7615D">
            <w:pPr>
              <w:spacing w:after="0" w:line="200" w:lineRule="auto"/>
              <w:jc w:val="left"/>
            </w:pPr>
            <w:r>
              <w:rPr>
                <w:b/>
              </w:rPr>
              <w:t>2021</w:t>
            </w:r>
          </w:p>
        </w:tc>
        <w:tc>
          <w:tcPr>
            <w:tcW w:w="0" w:type="auto"/>
            <w:shd w:val="clear" w:color="auto" w:fill="D9E1F2"/>
            <w:vAlign w:val="center"/>
          </w:tcPr>
          <w:p w:rsidR="008C1AD0" w:rsidRDefault="00F7615D">
            <w:pPr>
              <w:spacing w:after="0" w:line="200" w:lineRule="auto"/>
              <w:jc w:val="left"/>
            </w:pPr>
            <w:r>
              <w:rPr>
                <w:b/>
              </w:rPr>
              <w:t>2022</w:t>
            </w:r>
          </w:p>
        </w:tc>
        <w:tc>
          <w:tcPr>
            <w:tcW w:w="0" w:type="auto"/>
            <w:shd w:val="clear" w:color="auto" w:fill="D9E1F2"/>
            <w:vAlign w:val="center"/>
          </w:tcPr>
          <w:p w:rsidR="008C1AD0" w:rsidRDefault="00F7615D">
            <w:pPr>
              <w:spacing w:after="0" w:line="200" w:lineRule="auto"/>
              <w:jc w:val="left"/>
            </w:pPr>
            <w:r>
              <w:rPr>
                <w:b/>
              </w:rPr>
              <w:t>2023</w:t>
            </w:r>
          </w:p>
        </w:tc>
        <w:tc>
          <w:tcPr>
            <w:tcW w:w="0" w:type="auto"/>
            <w:shd w:val="clear" w:color="auto" w:fill="D9E1F2"/>
            <w:vAlign w:val="center"/>
          </w:tcPr>
          <w:p w:rsidR="008C1AD0" w:rsidRDefault="00F7615D">
            <w:pPr>
              <w:spacing w:after="0" w:line="200" w:lineRule="auto"/>
              <w:jc w:val="left"/>
            </w:pPr>
            <w:r>
              <w:rPr>
                <w:b/>
              </w:rPr>
              <w:t>2024</w:t>
            </w:r>
          </w:p>
        </w:tc>
        <w:tc>
          <w:tcPr>
            <w:tcW w:w="0" w:type="auto"/>
            <w:shd w:val="clear" w:color="auto" w:fill="D9E1F2"/>
            <w:vAlign w:val="center"/>
          </w:tcPr>
          <w:p w:rsidR="008C1AD0" w:rsidRDefault="00F7615D">
            <w:pPr>
              <w:spacing w:after="0" w:line="200" w:lineRule="auto"/>
              <w:jc w:val="left"/>
            </w:pPr>
            <w:r>
              <w:rPr>
                <w:b/>
              </w:rPr>
              <w:t>2025</w:t>
            </w:r>
          </w:p>
        </w:tc>
        <w:tc>
          <w:tcPr>
            <w:tcW w:w="0" w:type="auto"/>
            <w:shd w:val="clear" w:color="auto" w:fill="D9E1F2"/>
            <w:vAlign w:val="center"/>
          </w:tcPr>
          <w:p w:rsidR="008C1AD0"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Rrjeti rrugor në km linear në total (rural/urban)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e rrjetit rrugor urban nën administrimin e bashkisë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e rrjetit rrugor rural nën administrimin e bashkisë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117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Numri i linjave interurbane të transportit publik</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Numri i linjave urbane të transportit publik</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Numri i qendrave të shërbimit që aksesohen përmes shërbimit rrugor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600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650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Ura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Numri i banorëve që përfitojnë nga shfrytëzimi I rrjetit rrugor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20128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20110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në km e rrjetit rrugor të shtruar (asfaltuar ose me çakull) që plotëson standardin/normat sipas kodit rrugor në total nën administrimin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totale e rrjetit rrugor të asfaltuar nën administrimin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rural dhe urban i pajisur me sinjalistikë rrugore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175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rural i pajisur me sinjalistikë rrugore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urban i pajisur me sinjalistikë rrugore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rural dhe urban i ndriçuar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rural i ndriçuar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Rrjet rrugor urban i ndriçuar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në km e rrjetit rrugor të shtruar (asfaltuar ose me çakull)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Gjatësia në km e rrjetit rrugor të mirëmbajtur në vit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35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Ura të mirëmbajtura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8</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lastRenderedPageBreak/>
              <w:t>Sinjalistikë rrugore e përmirësuar (në km)</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8C1AD0" w:rsidRDefault="00ED2D5A">
            <w:pPr>
              <w:spacing w:after="0" w:line="240" w:lineRule="auto"/>
            </w:pP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Gjatësia në km e rrjetit rrugor të shtruar (asfaltuar ose me çakull) në vit</w:t>
      </w:r>
    </w:p>
    <w:p w:rsidR="001F32AA" w:rsidRDefault="00ED2D5A" w:rsidP="006A3D44"/>
    <w:p w:rsidR="0005294B" w:rsidRDefault="00F7615D">
      <w:pPr>
        <w:pStyle w:val="NormalWeb"/>
        <w:divId w:val="921765187"/>
      </w:pPr>
      <w:r>
        <w:t xml:space="preserve">Të dhënat e rrjetit rrugor të bashkisë Memaliaj tregojnë zhvillimin dhe ndryshimet gjatë periudhës së studiuar. Në </w:t>
      </w:r>
      <w:r>
        <w:rPr>
          <w:rStyle w:val="Strong"/>
          <w:rFonts w:eastAsiaTheme="majorEastAsia"/>
        </w:rPr>
        <w:t>2021</w:t>
      </w:r>
      <w:r>
        <w:t xml:space="preserve">, gjatësia e rrugëve të asfaltuara ose me çakull arriti në </w:t>
      </w:r>
      <w:r>
        <w:rPr>
          <w:rStyle w:val="Strong"/>
          <w:rFonts w:eastAsiaTheme="majorEastAsia"/>
        </w:rPr>
        <w:t>30 km</w:t>
      </w:r>
      <w:r>
        <w:t xml:space="preserve">. Në </w:t>
      </w:r>
      <w:r>
        <w:rPr>
          <w:rStyle w:val="Strong"/>
          <w:rFonts w:eastAsiaTheme="majorEastAsia"/>
        </w:rPr>
        <w:t>2022</w:t>
      </w:r>
      <w:r>
        <w:t xml:space="preserve">, pati një rritje të konsiderueshme, duke arritur në </w:t>
      </w:r>
      <w:r>
        <w:rPr>
          <w:rStyle w:val="Strong"/>
          <w:rFonts w:eastAsiaTheme="majorEastAsia"/>
        </w:rPr>
        <w:t>50 km</w:t>
      </w:r>
      <w:r>
        <w:t xml:space="preserve">, që paraqet një përmirësim të dukshëm. Megjithatë, në </w:t>
      </w:r>
      <w:r>
        <w:rPr>
          <w:rStyle w:val="Strong"/>
          <w:rFonts w:eastAsiaTheme="majorEastAsia"/>
        </w:rPr>
        <w:t>2023</w:t>
      </w:r>
      <w:r>
        <w:t xml:space="preserve">, rrjeti u zvogëlua disi, me një gjatësie prej </w:t>
      </w:r>
      <w:r>
        <w:rPr>
          <w:rStyle w:val="Strong"/>
          <w:rFonts w:eastAsiaTheme="majorEastAsia"/>
        </w:rPr>
        <w:t>40 km</w:t>
      </w:r>
      <w:r>
        <w:t xml:space="preserve">, duke treguar sfida ose rregullime të mundshme infrastrukturore. Për vitet </w:t>
      </w:r>
      <w:r>
        <w:rPr>
          <w:rStyle w:val="Strong"/>
          <w:rFonts w:eastAsiaTheme="majorEastAsia"/>
        </w:rPr>
        <w:t>2024</w:t>
      </w:r>
      <w:r>
        <w:t xml:space="preserve"> dhe </w:t>
      </w:r>
      <w:r>
        <w:rPr>
          <w:rStyle w:val="Strong"/>
          <w:rFonts w:eastAsiaTheme="majorEastAsia"/>
        </w:rPr>
        <w:t>2025</w:t>
      </w:r>
      <w:r>
        <w:t xml:space="preserve">, gjatësia mbeti konstante në </w:t>
      </w:r>
      <w:r>
        <w:rPr>
          <w:rStyle w:val="Strong"/>
          <w:rFonts w:eastAsiaTheme="majorEastAsia"/>
        </w:rPr>
        <w:t>45 km</w:t>
      </w:r>
      <w:r>
        <w:t xml:space="preserve">, duke sugjeruar një stabilizim ose mirëmbajtje të rrjetit ekzistues. Nuk ka të dhëna për vitin </w:t>
      </w:r>
      <w:r>
        <w:rPr>
          <w:rStyle w:val="Strong"/>
          <w:rFonts w:eastAsiaTheme="majorEastAsia"/>
        </w:rPr>
        <w:t>2026</w:t>
      </w:r>
      <w:r>
        <w:t xml:space="preserve">, çka lë hapësirë për spekulime mbi zhvillimet e ardhshme ose mungesën e raportimit. Krahasuar me </w:t>
      </w:r>
      <w:r>
        <w:rPr>
          <w:rStyle w:val="Strong"/>
          <w:rFonts w:eastAsiaTheme="majorEastAsia"/>
        </w:rPr>
        <w:t>2021</w:t>
      </w:r>
      <w:r>
        <w:t xml:space="preserve">, rrjeti rrugor u zgjerua në vitet pasuese, me përmirësimin më të madh mes </w:t>
      </w:r>
      <w:r>
        <w:rPr>
          <w:rStyle w:val="Strong"/>
          <w:rFonts w:eastAsiaTheme="majorEastAsia"/>
        </w:rPr>
        <w:t>2021</w:t>
      </w:r>
      <w:r>
        <w:t xml:space="preserve"> dhe </w:t>
      </w:r>
      <w:r>
        <w:rPr>
          <w:rStyle w:val="Strong"/>
          <w:rFonts w:eastAsiaTheme="majorEastAsia"/>
        </w:rPr>
        <w:t>2022</w:t>
      </w:r>
      <w:r>
        <w:t xml:space="preserve">. Viti </w:t>
      </w:r>
      <w:r>
        <w:rPr>
          <w:rStyle w:val="Strong"/>
          <w:rFonts w:eastAsiaTheme="majorEastAsia"/>
        </w:rPr>
        <w:t>2022</w:t>
      </w:r>
      <w:r>
        <w:t xml:space="preserve"> shënoi pikën më të lartë për rrugët e asfaltuara, duke sugjeruar një investim intensiv atë vit. Stabiliteti i vërejtur në </w:t>
      </w:r>
      <w:r>
        <w:rPr>
          <w:rStyle w:val="Strong"/>
          <w:rFonts w:eastAsiaTheme="majorEastAsia"/>
        </w:rPr>
        <w:t>2024</w:t>
      </w:r>
      <w:r>
        <w:t xml:space="preserve"> dhe </w:t>
      </w:r>
      <w:r>
        <w:rPr>
          <w:rStyle w:val="Strong"/>
          <w:rFonts w:eastAsiaTheme="majorEastAsia"/>
        </w:rPr>
        <w:t>2025</w:t>
      </w:r>
      <w:r>
        <w:t xml:space="preserve"> tregon një qëndrueshmëri në mirëmbajtje. Këto të dhëna japin një kuptim të avancimit të infrastrukturës rrugore në bashkinë Memaliaj dhe ofrojnë njohuri për planifikimet e ardhshme.</w:t>
      </w:r>
    </w:p>
    <w:p w:rsidR="00273E47" w:rsidRDefault="00ED2D5A" w:rsidP="001F32AA"/>
    <w:p w:rsidR="005745F5" w:rsidRDefault="00F7615D">
      <w:r>
        <w:rPr>
          <w:noProof/>
        </w:rPr>
        <w:drawing>
          <wp:inline distT="0" distB="0" distL="0" distR="0">
            <wp:extent cx="5486400" cy="3200400"/>
            <wp:effectExtent l="0" t="0" r="0" b="0"/>
            <wp:docPr id="2430865" name="Chart 2430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F32AA" w:rsidRDefault="00F7615D" w:rsidP="001F32AA">
      <w:pPr>
        <w:pStyle w:val="dataNameStyle"/>
      </w:pPr>
      <w:r>
        <w:lastRenderedPageBreak/>
        <w:t>Gjatësia në km e rrjetit rrugor të mirëmbajtur në vit</w:t>
      </w:r>
    </w:p>
    <w:p w:rsidR="001F32AA" w:rsidRDefault="00ED2D5A" w:rsidP="006A3D44"/>
    <w:p w:rsidR="0005294B" w:rsidRDefault="00F7615D">
      <w:pPr>
        <w:pStyle w:val="NormalWeb"/>
        <w:divId w:val="1649283876"/>
      </w:pPr>
      <w:r>
        <w:t xml:space="preserve">Të dhënat për bashkinë Memaliaj mbi gjatësinë e rrjetit rrugor të mirëmbajtur tregojnë variacione interesante nga viti në vit. Në </w:t>
      </w:r>
      <w:r>
        <w:rPr>
          <w:rStyle w:val="Strong"/>
          <w:rFonts w:eastAsiaTheme="majorEastAsia"/>
        </w:rPr>
        <w:t>2021</w:t>
      </w:r>
      <w:r>
        <w:t xml:space="preserve">, gjatësia e rrugëve të mirëmbajtura ishte </w:t>
      </w:r>
      <w:r>
        <w:rPr>
          <w:rStyle w:val="Strong"/>
          <w:rFonts w:eastAsiaTheme="majorEastAsia"/>
        </w:rPr>
        <w:t>130 km</w:t>
      </w:r>
      <w:r>
        <w:t xml:space="preserve">, duke shënuar një bazë solide në mirëmbajtjen infrastrukturore. Ky numër u rrit në </w:t>
      </w:r>
      <w:r>
        <w:rPr>
          <w:rStyle w:val="Strong"/>
          <w:rFonts w:eastAsiaTheme="majorEastAsia"/>
        </w:rPr>
        <w:t>150 km</w:t>
      </w:r>
      <w:r>
        <w:t xml:space="preserve"> në </w:t>
      </w:r>
      <w:r>
        <w:rPr>
          <w:rStyle w:val="Strong"/>
          <w:rFonts w:eastAsiaTheme="majorEastAsia"/>
        </w:rPr>
        <w:t>2022</w:t>
      </w:r>
      <w:r>
        <w:t xml:space="preserve">, që tregon një zgjerim të konsiderueshëm të përpjekjeve për mirëmbajtje. Megjithatë, në </w:t>
      </w:r>
      <w:r>
        <w:rPr>
          <w:rStyle w:val="Strong"/>
          <w:rFonts w:eastAsiaTheme="majorEastAsia"/>
        </w:rPr>
        <w:t>2023</w:t>
      </w:r>
      <w:r>
        <w:t xml:space="preserve">, ka një rënie të theksuar në vetëm </w:t>
      </w:r>
      <w:r>
        <w:rPr>
          <w:rStyle w:val="Strong"/>
          <w:rFonts w:eastAsiaTheme="majorEastAsia"/>
        </w:rPr>
        <w:t>30 km</w:t>
      </w:r>
      <w:r>
        <w:t xml:space="preserve">, një ndryshim i madh nga viti i kaluar. Nga </w:t>
      </w:r>
      <w:r>
        <w:rPr>
          <w:rStyle w:val="Strong"/>
          <w:rFonts w:eastAsiaTheme="majorEastAsia"/>
        </w:rPr>
        <w:t>2024</w:t>
      </w:r>
      <w:r>
        <w:t xml:space="preserve"> deri në </w:t>
      </w:r>
      <w:r>
        <w:rPr>
          <w:rStyle w:val="Strong"/>
          <w:rFonts w:eastAsiaTheme="majorEastAsia"/>
        </w:rPr>
        <w:t>2026</w:t>
      </w:r>
      <w:r>
        <w:t xml:space="preserve">, gjatësia e rrugëve të mirëmbajtura mbetet konstante në </w:t>
      </w:r>
      <w:r>
        <w:rPr>
          <w:rStyle w:val="Strong"/>
          <w:rFonts w:eastAsiaTheme="majorEastAsia"/>
        </w:rPr>
        <w:t>35 km</w:t>
      </w:r>
      <w:r>
        <w:t xml:space="preserve"> çdo vit. Këto shifra sugjerojnë se, pas një përmase të fuqishme mirëmbajtjeje në vitet </w:t>
      </w:r>
      <w:r>
        <w:rPr>
          <w:rStyle w:val="Strong"/>
          <w:rFonts w:eastAsiaTheme="majorEastAsia"/>
        </w:rPr>
        <w:t>2021</w:t>
      </w:r>
      <w:r>
        <w:t xml:space="preserve"> dhe </w:t>
      </w:r>
      <w:r>
        <w:rPr>
          <w:rStyle w:val="Strong"/>
          <w:rFonts w:eastAsiaTheme="majorEastAsia"/>
        </w:rPr>
        <w:t>2022</w:t>
      </w:r>
      <w:r>
        <w:t xml:space="preserve">, ka një rënie dramatike dhe stabilizim më vonë. Një kompensim i tillë mund të vijë nga sfida financiare ose prioritizimi i fondeve në sektorë të tjerë. Kjo ulje e gjatësisë së mirëmbajtur pas vitit </w:t>
      </w:r>
      <w:r>
        <w:rPr>
          <w:rStyle w:val="Strong"/>
          <w:rFonts w:eastAsiaTheme="majorEastAsia"/>
        </w:rPr>
        <w:t>2022</w:t>
      </w:r>
      <w:r>
        <w:t xml:space="preserve"> mund të ndikojë negativisht në gjendjen e infrastrukturës rrugore lokale. Mundësisht, këto të dhëna nënvizojnë nevojën për optimizim të resurseve dhe planifikim afatgjatë në strategjitë e mirëmbajtjes së rrugëve. Është e rëndësishme që autoritetet përkatëse të shqyrtojnë këto trende për të garantuar një rrjet rrugor efektiv dhe të qëndrueshëm.</w:t>
      </w:r>
    </w:p>
    <w:p w:rsidR="00273E47" w:rsidRDefault="00ED2D5A" w:rsidP="001F32AA"/>
    <w:p w:rsidR="00ED5A1B" w:rsidRDefault="00F7615D" w:rsidP="001F32AA">
      <w:r>
        <w:rPr>
          <w:noProof/>
        </w:rPr>
        <w:drawing>
          <wp:inline distT="0" distB="0" distL="0" distR="0">
            <wp:extent cx="5486400" cy="3200400"/>
            <wp:effectExtent l="0" t="0" r="0" b="0"/>
            <wp:docPr id="2430866" name="Chart 2430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D52FA" w:rsidRDefault="00ED2D5A" w:rsidP="0030311D"/>
    <w:p w:rsidR="005745F5" w:rsidRDefault="00ED2D5A"/>
    <w:p w:rsidR="001F32AA" w:rsidRDefault="00F7615D" w:rsidP="001F32AA">
      <w:pPr>
        <w:pStyle w:val="dataNameStyle"/>
      </w:pPr>
      <w:r>
        <w:lastRenderedPageBreak/>
        <w:t>Ura të mirëmbajtura</w:t>
      </w:r>
    </w:p>
    <w:p w:rsidR="001F32AA" w:rsidRDefault="00ED2D5A" w:rsidP="006A3D44"/>
    <w:p w:rsidR="0005294B" w:rsidRDefault="00F7615D">
      <w:pPr>
        <w:pStyle w:val="NormalWeb"/>
        <w:divId w:val="658726183"/>
      </w:pPr>
      <w:r>
        <w:t xml:space="preserve">Të dhënat mbi urat e mirëmbajtura në Bashkinë Memaliaj tregojnë një trend pozitiv dhe të qëndrueshëm në vitet e fundit. Në vitin </w:t>
      </w:r>
      <w:r>
        <w:rPr>
          <w:rStyle w:val="Strong"/>
          <w:rFonts w:eastAsiaTheme="majorEastAsia"/>
        </w:rPr>
        <w:t>2021</w:t>
      </w:r>
      <w:r>
        <w:t xml:space="preserve">, numri i urave të mirëmbajtura ishte </w:t>
      </w:r>
      <w:r>
        <w:rPr>
          <w:rStyle w:val="Strong"/>
          <w:rFonts w:eastAsiaTheme="majorEastAsia"/>
        </w:rPr>
        <w:t>5</w:t>
      </w:r>
      <w:r>
        <w:t xml:space="preserve">, duke treguar një bazë të vogël fillestare. Ky numër u rrit në </w:t>
      </w:r>
      <w:r>
        <w:rPr>
          <w:rStyle w:val="Strong"/>
          <w:rFonts w:eastAsiaTheme="majorEastAsia"/>
        </w:rPr>
        <w:t>6</w:t>
      </w:r>
      <w:r>
        <w:t xml:space="preserve"> ura në vitin </w:t>
      </w:r>
      <w:r>
        <w:rPr>
          <w:rStyle w:val="Strong"/>
          <w:rFonts w:eastAsiaTheme="majorEastAsia"/>
        </w:rPr>
        <w:t>2022</w:t>
      </w:r>
      <w:r>
        <w:t xml:space="preserve">, një rritje e vogël por e rëndësishme. Viti </w:t>
      </w:r>
      <w:r>
        <w:rPr>
          <w:rStyle w:val="Strong"/>
          <w:rFonts w:eastAsiaTheme="majorEastAsia"/>
        </w:rPr>
        <w:t>2023</w:t>
      </w:r>
      <w:r>
        <w:t xml:space="preserve"> pa një tjetër rritje në </w:t>
      </w:r>
      <w:r>
        <w:rPr>
          <w:rStyle w:val="Strong"/>
          <w:rFonts w:eastAsiaTheme="majorEastAsia"/>
        </w:rPr>
        <w:t>7</w:t>
      </w:r>
      <w:r>
        <w:t xml:space="preserve"> ura të mirëmbajtura, duke treguar përmirësime të vazhdueshme. Në vitin </w:t>
      </w:r>
      <w:r>
        <w:rPr>
          <w:rStyle w:val="Strong"/>
          <w:rFonts w:eastAsiaTheme="majorEastAsia"/>
        </w:rPr>
        <w:t>2024</w:t>
      </w:r>
      <w:r>
        <w:t xml:space="preserve">, numri u rrit më tej në </w:t>
      </w:r>
      <w:r>
        <w:rPr>
          <w:rStyle w:val="Strong"/>
          <w:rFonts w:eastAsiaTheme="majorEastAsia"/>
        </w:rPr>
        <w:t>8</w:t>
      </w:r>
      <w:r>
        <w:t xml:space="preserve"> ura, një shifër që mbahet konstante edhe në vitet </w:t>
      </w:r>
      <w:r>
        <w:rPr>
          <w:rStyle w:val="Strong"/>
          <w:rFonts w:eastAsiaTheme="majorEastAsia"/>
        </w:rPr>
        <w:t>2025</w:t>
      </w:r>
      <w:r>
        <w:t xml:space="preserve"> dhe </w:t>
      </w:r>
      <w:r>
        <w:rPr>
          <w:rStyle w:val="Strong"/>
          <w:rFonts w:eastAsiaTheme="majorEastAsia"/>
        </w:rPr>
        <w:t>2026</w:t>
      </w:r>
      <w:r>
        <w:t xml:space="preserve">. Ky stabilitet në shifrat e mirëmbajtjes tregon një fokus të vazhdueshëm dhe përkushtim nga ana e bashkisë për ruajtjen dhe përmirësimin e infrastrukturës. Si pasojë, Bashkia Memaliaj duket se ka arritur një nivel të qëndrueshëm të mirëmbajtjes së urave në nivelin </w:t>
      </w:r>
      <w:r>
        <w:rPr>
          <w:rStyle w:val="Strong"/>
          <w:rFonts w:eastAsiaTheme="majorEastAsia"/>
        </w:rPr>
        <w:t>8</w:t>
      </w:r>
      <w:r>
        <w:t xml:space="preserve"> ura për tre vitet e fundit të të dhënave të treguara. Kjo sugjeron angazhim strategjik për mirëmbajtjen e urave, duke mbrojtur kështu sigurinë publike dhe qarkullimin. Përfundimisht, trendi i ngritur nga </w:t>
      </w:r>
      <w:r>
        <w:rPr>
          <w:rStyle w:val="Strong"/>
          <w:rFonts w:eastAsiaTheme="majorEastAsia"/>
        </w:rPr>
        <w:t>5</w:t>
      </w:r>
      <w:r>
        <w:t xml:space="preserve"> në </w:t>
      </w:r>
      <w:r>
        <w:rPr>
          <w:rStyle w:val="Strong"/>
          <w:rFonts w:eastAsiaTheme="majorEastAsia"/>
        </w:rPr>
        <w:t>8</w:t>
      </w:r>
      <w:r>
        <w:t xml:space="preserve"> ura të mirëmbajtura në gjashtë vite tregon progres dhe zhvillim në politikat e mirëmbajtjes së infrastrukturës nga ana e bashkisë.</w:t>
      </w:r>
    </w:p>
    <w:p w:rsidR="00273E47" w:rsidRDefault="00ED2D5A" w:rsidP="001F32AA"/>
    <w:p w:rsidR="00ED5A1B" w:rsidRDefault="00F7615D" w:rsidP="001F32AA">
      <w:r>
        <w:rPr>
          <w:noProof/>
        </w:rPr>
        <w:drawing>
          <wp:inline distT="0" distB="0" distL="0" distR="0">
            <wp:extent cx="5486400" cy="3200400"/>
            <wp:effectExtent l="0" t="0" r="0" b="0"/>
            <wp:docPr id="2430867" name="Chart 2430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D52FA" w:rsidRDefault="00ED2D5A" w:rsidP="0030311D"/>
    <w:p w:rsidR="00395608" w:rsidRPr="00395608" w:rsidRDefault="00F7615D" w:rsidP="009E0349">
      <w:pPr>
        <w:pStyle w:val="sherbimiHeader1"/>
        <w:ind w:firstLine="720"/>
      </w:pPr>
      <w:bookmarkStart w:id="41" w:name="_Toc213857419"/>
      <w:r>
        <w:lastRenderedPageBreak/>
        <w:t>Trashëgimia kulturore, eventet artistike dhe kulturore</w:t>
      </w:r>
      <w:bookmarkEnd w:id="41"/>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608" w:rsidRPr="00395608" w:rsidTr="006F06CE">
        <w:tc>
          <w:tcPr>
            <w:tcW w:w="9360" w:type="dxa"/>
            <w:shd w:val="clear" w:color="auto" w:fill="auto"/>
          </w:tcPr>
          <w:p w:rsidR="00395608" w:rsidRPr="0092763D" w:rsidRDefault="00F7615D" w:rsidP="00786EA6">
            <w:pPr>
              <w:pStyle w:val="sherbimiPershkrimTextStyle"/>
              <w:rPr>
                <w:b w:val="0"/>
              </w:rPr>
            </w:pPr>
            <w:r w:rsidRPr="0092763D">
              <w:t xml:space="preserve"> </w:t>
            </w:r>
            <w:r>
              <w:t>Ky shërbim përfshin zhvillimin, mbrojtjen dhe promovimin e vlerave të trashëgimisë kulturore me interes vendor, si dhe administrimin e objekteve që lidhen me këto funksione. Ai mbështet vendet historike, kopshte zoologjike dhe botanike, bibliotekat dhe ambientet për lexim, duke kontribuar në edukimin e përgjithshëm qytetar.  Përfshihet gjithashtu mbështetja për muzeumet, galeritë e arteve, teatrot dhe sallat e ekspozitave, organizimi i ngjarjeve kulturore si koncerte, prodhime skenike, filma dhe shfaqje artistike, si dhe sigurimi, administrimi, mbikëqyrja dhe rregullimi i strukturave dhe shërbimeve kulturore. Shërbimi synon gjithashtu organizimin e aktiviteteve kulturore dhe promovimin e identitetit kombëtar dhe lokal.</w:t>
            </w:r>
          </w:p>
        </w:tc>
      </w:tr>
    </w:tbl>
    <w:p w:rsidR="00DB217A" w:rsidRDefault="00F7615D" w:rsidP="007A309E">
      <w:pPr>
        <w:sectPr w:rsidR="00DB217A">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98176" behindDoc="0" locked="0" layoutInCell="1" allowOverlap="1" wp14:anchorId="5ED5C77E" wp14:editId="3FDC9906">
                <wp:simplePos x="0" y="0"/>
                <wp:positionH relativeFrom="column">
                  <wp:posOffset>8890</wp:posOffset>
                </wp:positionH>
                <wp:positionV relativeFrom="paragraph">
                  <wp:posOffset>266700</wp:posOffset>
                </wp:positionV>
                <wp:extent cx="5991225" cy="2581275"/>
                <wp:effectExtent l="0" t="0" r="0" b="9525"/>
                <wp:wrapSquare wrapText="bothSides"/>
                <wp:docPr id="243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25CDB" w:rsidRDefault="00F7615D">
                            <w:r>
                              <w:rPr>
                                <w:noProof/>
                              </w:rPr>
                              <w:drawing>
                                <wp:inline distT="0" distB="0" distL="0" distR="0" wp14:editId="50D07946">
                                  <wp:extent cx="5800000" cy="2420000"/>
                                  <wp:effectExtent l="0" t="0" r="0" b="0"/>
                                  <wp:docPr id="2430872" name="Picture 24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1" cstate="print">
                                            <a:extLst/>
                                          </a:blip>
                                          <a:stretch>
                                            <a:fillRect/>
                                          </a:stretch>
                                        </pic:blipFill>
                                        <pic:spPr>
                                          <a:xfrm>
                                            <a:off x="0" y="0"/>
                                            <a:ext cx="5800000" cy="2420000"/>
                                          </a:xfrm>
                                          <a:prstGeom prst="borderCallout3">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C77E" id="_x0000_s1040" type="#_x0000_t202" style="position:absolute;left:0;text-align:left;margin-left:.7pt;margin-top:21pt;width:471.75pt;height:20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" filled="f" stroked="f">
                <v:textbox>
                  <w:txbxContent>
                    <w:p w:rsidR="00925CDB" w:rsidRDefault="00F7615D">
                      <w:r>
                        <w:rPr>
                          <w:noProof/>
                        </w:rPr>
                        <w:drawing>
                          <wp:inline distT="0" distB="0" distL="0" distR="0" wp14:editId="50D07946">
                            <wp:extent cx="5800000" cy="2420000"/>
                            <wp:effectExtent l="0" t="0" r="0" b="0"/>
                            <wp:docPr id="2430872" name="Picture 24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2" cstate="print">
                                      <a:extLst/>
                                    </a:blip>
                                    <a:stretch>
                                      <a:fillRect/>
                                    </a:stretch>
                                  </pic:blipFill>
                                  <pic:spPr>
                                    <a:xfrm>
                                      <a:off x="0" y="0"/>
                                      <a:ext cx="5800000" cy="2420000"/>
                                    </a:xfrm>
                                    <a:prstGeom prst="borderCallout3">
                                      <a:avLst/>
                                    </a:prstGeom>
                                  </pic:spPr>
                                </pic:pic>
                              </a:graphicData>
                            </a:graphic>
                          </wp:inline>
                        </w:drawing>
                      </w:r>
                    </w:p>
                  </w:txbxContent>
                </v:textbox>
                <w10:wrap type="square"/>
              </v:shape>
            </w:pict>
          </mc:Fallback>
        </mc:AlternateContent>
      </w:r>
    </w:p>
    <w:p w:rsidR="00395288" w:rsidRDefault="00F7615D" w:rsidP="003B0B71">
      <w:pPr>
        <w:pStyle w:val="StyleofIndicator"/>
      </w:pPr>
      <w:r w:rsidRPr="003B0B71">
        <w:lastRenderedPageBreak/>
        <w:t xml:space="preserve">Treguesit e </w:t>
      </w:r>
      <w:r>
        <w:t>shërbimit</w:t>
      </w:r>
    </w:p>
    <w:p w:rsidR="003B0B71" w:rsidRPr="003B0B71" w:rsidRDefault="00ED2D5A" w:rsidP="00A04D6A"/>
    <w:p w:rsidR="00395288" w:rsidRDefault="00F7615D" w:rsidP="00EE4A4A">
      <w:r>
        <w:t>Ky kapitull synon të ofrojë një pasqyrë të plotë mbi treguesit e performancës të lidhur me shërbimin. Treguesit janë përzgjedhur dhe zhvilluar përmes një procesi gjithëpërfshirës, duke angazhuar institucione qendrore, bashkinë, organizata partnere dhe ekspertë të fushës, me qëllim sigurimin e një qasjeje të balancuar dhe të krahasueshme.</w:t>
      </w:r>
    </w:p>
    <w:p w:rsidR="00A65431" w:rsidRPr="00FE107E" w:rsidRDefault="00F7615D" w:rsidP="00EE4A4A">
      <w:r>
        <w:t xml:space="preserve">Në vijim paraqiten të gjithë treguesit e miratuar, të cilët pasqyrojnë aspektet kryesore të shërbimeve </w:t>
      </w:r>
      <w:r w:rsidRPr="00FE107E">
        <w:t>vendore. Për secilin prej tyre janë dhënë vlerat përkatëse ndër vite, si dhe të dhënat shoqëruese që mundësojnë interpretim të saktë dhe ndjekjen e tendencave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343"/>
        <w:gridCol w:w="5431"/>
        <w:gridCol w:w="696"/>
        <w:gridCol w:w="696"/>
        <w:gridCol w:w="696"/>
        <w:gridCol w:w="696"/>
        <w:gridCol w:w="696"/>
        <w:gridCol w:w="696"/>
      </w:tblGrid>
      <w:tr w:rsidR="00326C4C" w:rsidTr="00326C4C">
        <w:trPr>
          <w:trHeight w:val="449"/>
          <w:jc w:val="center"/>
        </w:trPr>
        <w:tc>
          <w:tcPr>
            <w:tcW w:w="0" w:type="auto"/>
            <w:shd w:val="clear" w:color="auto" w:fill="D9E1F2"/>
            <w:vAlign w:val="center"/>
          </w:tcPr>
          <w:p w:rsidR="00086748" w:rsidRDefault="00F7615D" w:rsidP="00EE4A4A">
            <w:pPr>
              <w:spacing w:after="0" w:line="200" w:lineRule="auto"/>
              <w:jc w:val="left"/>
            </w:pPr>
            <w:r>
              <w:rPr>
                <w:b/>
              </w:rPr>
              <w:t>Treguesi</w:t>
            </w:r>
          </w:p>
        </w:tc>
        <w:tc>
          <w:tcPr>
            <w:tcW w:w="0" w:type="auto"/>
            <w:shd w:val="clear" w:color="auto" w:fill="D9E1F2"/>
            <w:vAlign w:val="center"/>
          </w:tcPr>
          <w:p w:rsidR="00C2607E" w:rsidRDefault="00F7615D">
            <w:pPr>
              <w:spacing w:after="0" w:line="200" w:lineRule="auto"/>
              <w:jc w:val="left"/>
            </w:pPr>
            <w:r>
              <w:rPr>
                <w:b/>
              </w:rPr>
              <w:t>Përshkrim</w:t>
            </w:r>
          </w:p>
        </w:tc>
        <w:tc>
          <w:tcPr>
            <w:tcW w:w="0" w:type="auto"/>
            <w:shd w:val="clear" w:color="auto" w:fill="D9E1F2"/>
            <w:vAlign w:val="center"/>
          </w:tcPr>
          <w:p w:rsidR="00C2607E" w:rsidRDefault="00F7615D">
            <w:pPr>
              <w:spacing w:after="0" w:line="200" w:lineRule="auto"/>
              <w:jc w:val="left"/>
            </w:pPr>
            <w:r>
              <w:rPr>
                <w:b/>
              </w:rPr>
              <w:t>2021</w:t>
            </w:r>
          </w:p>
        </w:tc>
        <w:tc>
          <w:tcPr>
            <w:tcW w:w="0" w:type="auto"/>
            <w:shd w:val="clear" w:color="auto" w:fill="D9E1F2"/>
            <w:vAlign w:val="center"/>
          </w:tcPr>
          <w:p w:rsidR="00C2607E" w:rsidRDefault="00F7615D">
            <w:pPr>
              <w:spacing w:after="0" w:line="200" w:lineRule="auto"/>
              <w:jc w:val="left"/>
            </w:pPr>
            <w:r>
              <w:rPr>
                <w:b/>
              </w:rPr>
              <w:t>2022</w:t>
            </w:r>
          </w:p>
        </w:tc>
        <w:tc>
          <w:tcPr>
            <w:tcW w:w="0" w:type="auto"/>
            <w:shd w:val="clear" w:color="auto" w:fill="D9E1F2"/>
            <w:vAlign w:val="center"/>
          </w:tcPr>
          <w:p w:rsidR="00C2607E" w:rsidRDefault="00F7615D">
            <w:pPr>
              <w:spacing w:after="0" w:line="200" w:lineRule="auto"/>
              <w:jc w:val="left"/>
            </w:pPr>
            <w:r>
              <w:rPr>
                <w:b/>
              </w:rPr>
              <w:t>2023</w:t>
            </w:r>
          </w:p>
        </w:tc>
        <w:tc>
          <w:tcPr>
            <w:tcW w:w="0" w:type="auto"/>
            <w:shd w:val="clear" w:color="auto" w:fill="D9E1F2"/>
            <w:vAlign w:val="center"/>
          </w:tcPr>
          <w:p w:rsidR="00C2607E" w:rsidRDefault="00F7615D">
            <w:pPr>
              <w:spacing w:after="0" w:line="200" w:lineRule="auto"/>
              <w:jc w:val="left"/>
            </w:pPr>
            <w:r>
              <w:rPr>
                <w:b/>
              </w:rPr>
              <w:t>2024</w:t>
            </w:r>
          </w:p>
        </w:tc>
        <w:tc>
          <w:tcPr>
            <w:tcW w:w="0" w:type="auto"/>
            <w:shd w:val="clear" w:color="auto" w:fill="D9E1F2"/>
            <w:vAlign w:val="center"/>
          </w:tcPr>
          <w:p w:rsidR="00C2607E" w:rsidRDefault="00F7615D">
            <w:pPr>
              <w:spacing w:after="0" w:line="200" w:lineRule="auto"/>
              <w:jc w:val="left"/>
            </w:pPr>
            <w:r>
              <w:rPr>
                <w:b/>
              </w:rPr>
              <w:t>2025</w:t>
            </w:r>
          </w:p>
        </w:tc>
        <w:tc>
          <w:tcPr>
            <w:tcW w:w="0" w:type="auto"/>
            <w:shd w:val="clear" w:color="auto" w:fill="D9E1F2"/>
            <w:vAlign w:val="center"/>
          </w:tcPr>
          <w:p w:rsidR="00C2607E"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Përmirësimi i aseteve  të trashëgimisë  kulturore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Pjesa në përqindje e aseteve kulturore të rikonstruktuara ndaj aseteve kulturore totale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20</w:t>
            </w:r>
          </w:p>
        </w:tc>
      </w:tr>
    </w:tbl>
    <w:p w:rsidR="00086748" w:rsidRDefault="00ED2D5A" w:rsidP="00EE4A4A">
      <w:pPr>
        <w:pStyle w:val="pharagraphSpacing"/>
      </w:pPr>
    </w:p>
    <w:p w:rsidR="00625A7F" w:rsidRDefault="00ED2D5A" w:rsidP="00EE4A4A">
      <w:pPr>
        <w:pStyle w:val="pharagraphSpacing"/>
      </w:pPr>
    </w:p>
    <w:p w:rsidR="000C681F" w:rsidRDefault="00ED2D5A" w:rsidP="00EE4A4A">
      <w:pPr>
        <w:pStyle w:val="pharagraphSpacing"/>
        <w:sectPr w:rsidR="000C681F" w:rsidSect="00DB217A">
          <w:pgSz w:w="15840" w:h="12240" w:orient="landscape"/>
          <w:pgMar w:top="1440" w:right="1440" w:bottom="1440" w:left="1440" w:header="720" w:footer="720" w:gutter="0"/>
          <w:cols w:space="720"/>
          <w:docGrid w:linePitch="360"/>
        </w:sectPr>
      </w:pPr>
    </w:p>
    <w:p w:rsidR="007A309E" w:rsidRPr="006456B4" w:rsidRDefault="00F7615D" w:rsidP="00F3586A">
      <w:pPr>
        <w:pStyle w:val="DataIndicatorText"/>
        <w:rPr>
          <w:rStyle w:val="IntenseEmphasis"/>
          <w:i/>
          <w:iCs w:val="0"/>
        </w:rPr>
      </w:pPr>
      <w:r w:rsidRPr="00F3586A">
        <w:lastRenderedPageBreak/>
        <w:t>Të</w:t>
      </w:r>
      <w:r w:rsidRPr="006456B4">
        <w:rPr>
          <w:rStyle w:val="IntenseEmphasis"/>
        </w:rPr>
        <w:t xml:space="preserve"> </w:t>
      </w:r>
      <w:r w:rsidRPr="00F3586A">
        <w:t>dhënat</w:t>
      </w:r>
      <w:r w:rsidRPr="006456B4">
        <w:t xml:space="preserve"> e shërbimit</w:t>
      </w:r>
    </w:p>
    <w:p w:rsidR="00395288" w:rsidRDefault="00ED2D5A" w:rsidP="00A04D6A"/>
    <w:p w:rsidR="004A5E78" w:rsidRPr="00395288" w:rsidRDefault="00F7615D" w:rsidP="00EE4A4A">
      <w:r>
        <w:t>Tabela në vijim paraqet të dhënat përkatëse që lidhen me treguesin, duke shënuar vlerat e tij përgjatë viteve të raportimit. Këto të dhëna ofrojnë bazën për të kuptuar më qartë nivelin e performancës së arritur, si dhe për të bërë krahasime ndër vite mbi ecurinë e treguesit në fushën përkatëse.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8492"/>
        <w:gridCol w:w="743"/>
        <w:gridCol w:w="743"/>
        <w:gridCol w:w="743"/>
        <w:gridCol w:w="743"/>
        <w:gridCol w:w="743"/>
        <w:gridCol w:w="743"/>
      </w:tblGrid>
      <w:tr w:rsidR="00326C4C" w:rsidTr="00326C4C">
        <w:trPr>
          <w:trHeight w:val="449"/>
          <w:jc w:val="center"/>
        </w:trPr>
        <w:tc>
          <w:tcPr>
            <w:tcW w:w="0" w:type="auto"/>
            <w:shd w:val="clear" w:color="auto" w:fill="D9E1F2"/>
            <w:vAlign w:val="center"/>
          </w:tcPr>
          <w:p w:rsidR="00625A7F" w:rsidRDefault="00F7615D" w:rsidP="00FE107E">
            <w:pPr>
              <w:spacing w:after="0" w:line="200" w:lineRule="auto"/>
              <w:jc w:val="left"/>
            </w:pPr>
            <w:r>
              <w:rPr>
                <w:b/>
              </w:rPr>
              <w:t>E dhëna</w:t>
            </w:r>
          </w:p>
        </w:tc>
        <w:tc>
          <w:tcPr>
            <w:tcW w:w="0" w:type="auto"/>
            <w:shd w:val="clear" w:color="auto" w:fill="D9E1F2"/>
            <w:vAlign w:val="center"/>
          </w:tcPr>
          <w:p w:rsidR="00C2607E" w:rsidRDefault="00F7615D">
            <w:pPr>
              <w:spacing w:after="0" w:line="200" w:lineRule="auto"/>
              <w:jc w:val="left"/>
            </w:pPr>
            <w:r>
              <w:rPr>
                <w:b/>
              </w:rPr>
              <w:t>2021</w:t>
            </w:r>
          </w:p>
        </w:tc>
        <w:tc>
          <w:tcPr>
            <w:tcW w:w="0" w:type="auto"/>
            <w:shd w:val="clear" w:color="auto" w:fill="D9E1F2"/>
            <w:vAlign w:val="center"/>
          </w:tcPr>
          <w:p w:rsidR="00C2607E" w:rsidRDefault="00F7615D">
            <w:pPr>
              <w:spacing w:after="0" w:line="200" w:lineRule="auto"/>
              <w:jc w:val="left"/>
            </w:pPr>
            <w:r>
              <w:rPr>
                <w:b/>
              </w:rPr>
              <w:t>2022</w:t>
            </w:r>
          </w:p>
        </w:tc>
        <w:tc>
          <w:tcPr>
            <w:tcW w:w="0" w:type="auto"/>
            <w:shd w:val="clear" w:color="auto" w:fill="D9E1F2"/>
            <w:vAlign w:val="center"/>
          </w:tcPr>
          <w:p w:rsidR="00C2607E" w:rsidRDefault="00F7615D">
            <w:pPr>
              <w:spacing w:after="0" w:line="200" w:lineRule="auto"/>
              <w:jc w:val="left"/>
            </w:pPr>
            <w:r>
              <w:rPr>
                <w:b/>
              </w:rPr>
              <w:t>2023</w:t>
            </w:r>
          </w:p>
        </w:tc>
        <w:tc>
          <w:tcPr>
            <w:tcW w:w="0" w:type="auto"/>
            <w:shd w:val="clear" w:color="auto" w:fill="D9E1F2"/>
            <w:vAlign w:val="center"/>
          </w:tcPr>
          <w:p w:rsidR="00C2607E" w:rsidRDefault="00F7615D">
            <w:pPr>
              <w:spacing w:after="0" w:line="200" w:lineRule="auto"/>
              <w:jc w:val="left"/>
            </w:pPr>
            <w:r>
              <w:rPr>
                <w:b/>
              </w:rPr>
              <w:t>2024</w:t>
            </w:r>
          </w:p>
        </w:tc>
        <w:tc>
          <w:tcPr>
            <w:tcW w:w="0" w:type="auto"/>
            <w:shd w:val="clear" w:color="auto" w:fill="D9E1F2"/>
            <w:vAlign w:val="center"/>
          </w:tcPr>
          <w:p w:rsidR="00C2607E" w:rsidRDefault="00F7615D">
            <w:pPr>
              <w:spacing w:after="0" w:line="200" w:lineRule="auto"/>
              <w:jc w:val="left"/>
            </w:pPr>
            <w:r>
              <w:rPr>
                <w:b/>
              </w:rPr>
              <w:t>2025</w:t>
            </w:r>
          </w:p>
        </w:tc>
        <w:tc>
          <w:tcPr>
            <w:tcW w:w="0" w:type="auto"/>
            <w:shd w:val="clear" w:color="auto" w:fill="D9E1F2"/>
            <w:vAlign w:val="center"/>
          </w:tcPr>
          <w:p w:rsidR="00C2607E"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Asete të trashëgimisë kulturore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Asete të trashëgimisë kulturore nën administrimin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Numri i lexuesve të rregullt në bibliotekë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Numri i vizitorëve në vit në objektet e trashëgimisë kulturore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2500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6000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6000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Numri i librave në bibliotekë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ED2D5A">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749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900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Numri i shfaqeve kulturore; evente artistike të mbështetura me fondet e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Asete të trashëgimisë kulturore të rikonstruktuara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Aktivitete për edukimin e brezit të ri</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40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Numri i stafit i angazhuar për shërbimin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2607E" w:rsidRDefault="00F7615D">
            <w:pPr>
              <w:spacing w:after="0" w:line="240" w:lineRule="auto"/>
            </w:pPr>
            <w:r>
              <w:t>2</w:t>
            </w:r>
          </w:p>
        </w:tc>
      </w:tr>
    </w:tbl>
    <w:p w:rsidR="00625A7F" w:rsidRDefault="00ED2D5A" w:rsidP="00FE107E">
      <w:pPr>
        <w:pStyle w:val="pharagraphSpacing"/>
      </w:pPr>
    </w:p>
    <w:p w:rsidR="00086748" w:rsidRDefault="00ED2D5A" w:rsidP="00FE107E">
      <w:pPr>
        <w:pStyle w:val="pharagraphSpacing"/>
      </w:pPr>
    </w:p>
    <w:p w:rsidR="00625A7F" w:rsidRDefault="00ED2D5A" w:rsidP="00FE107E">
      <w:pPr>
        <w:pStyle w:val="pharagraphSpacing"/>
      </w:pPr>
    </w:p>
    <w:p w:rsidR="00DB217A" w:rsidRDefault="00ED2D5A" w:rsidP="00FE107E">
      <w:pPr>
        <w:pStyle w:val="pharagraphSpacing"/>
        <w:sectPr w:rsidR="00DB217A" w:rsidSect="00DB217A">
          <w:pgSz w:w="15840" w:h="12240" w:orient="landscape"/>
          <w:pgMar w:top="1440" w:right="1440" w:bottom="1440" w:left="1440" w:header="720" w:footer="720" w:gutter="0"/>
          <w:cols w:space="720"/>
          <w:docGrid w:linePitch="360"/>
        </w:sectPr>
      </w:pPr>
    </w:p>
    <w:p w:rsidR="008C2EC0" w:rsidRDefault="00F7615D" w:rsidP="007A309E">
      <w:r>
        <w:lastRenderedPageBreak/>
        <w:t>Më poshtë paraqiten të dhënat e treguesit, të shoqëruara me grafikët përkatës.</w:t>
      </w:r>
    </w:p>
    <w:p w:rsidR="001828BD" w:rsidRDefault="00ED2D5A" w:rsidP="007A309E"/>
    <w:p w:rsidR="005745F5" w:rsidRDefault="00ED2D5A"/>
    <w:p w:rsidR="001F32AA" w:rsidRDefault="00F7615D" w:rsidP="001F32AA">
      <w:pPr>
        <w:pStyle w:val="dataNameStyle"/>
      </w:pPr>
      <w:r>
        <w:t>Numri i shfaqeve kulturore; evente artistike të mbështetura me fondet e bashkisë</w:t>
      </w:r>
    </w:p>
    <w:p w:rsidR="001F32AA" w:rsidRDefault="00ED2D5A" w:rsidP="006A3D44"/>
    <w:p w:rsidR="0005294B" w:rsidRDefault="00F7615D">
      <w:pPr>
        <w:pStyle w:val="NormalWeb"/>
        <w:divId w:val="1207765934"/>
      </w:pPr>
      <w:r>
        <w:t xml:space="preserve">Në </w:t>
      </w:r>
      <w:r>
        <w:rPr>
          <w:rStyle w:val="Strong"/>
          <w:rFonts w:eastAsiaTheme="majorEastAsia"/>
        </w:rPr>
        <w:t>2021</w:t>
      </w:r>
      <w:r>
        <w:t xml:space="preserve">, Bashkia Memaliaj mbështeti gjithsej </w:t>
      </w:r>
      <w:r>
        <w:rPr>
          <w:rStyle w:val="Strong"/>
          <w:rFonts w:eastAsiaTheme="majorEastAsia"/>
        </w:rPr>
        <w:t>3</w:t>
      </w:r>
      <w:r>
        <w:t xml:space="preserve"> shfaqe kulturore dhe evente artistike. Ky numër u rrit ndjeshëm në </w:t>
      </w:r>
      <w:r>
        <w:rPr>
          <w:rStyle w:val="Strong"/>
          <w:rFonts w:eastAsiaTheme="majorEastAsia"/>
        </w:rPr>
        <w:t>2022</w:t>
      </w:r>
      <w:r>
        <w:t xml:space="preserve">, ku u organizuan </w:t>
      </w:r>
      <w:r>
        <w:rPr>
          <w:rStyle w:val="Strong"/>
          <w:rFonts w:eastAsiaTheme="majorEastAsia"/>
        </w:rPr>
        <w:t>10</w:t>
      </w:r>
      <w:r>
        <w:t xml:space="preserve"> evente të tilla me mbështetje financiare nga bashkia. Në vitin </w:t>
      </w:r>
      <w:r>
        <w:rPr>
          <w:rStyle w:val="Strong"/>
          <w:rFonts w:eastAsiaTheme="majorEastAsia"/>
        </w:rPr>
        <w:t>2023</w:t>
      </w:r>
      <w:r>
        <w:t xml:space="preserve">, kjo shifër vazhdoi të rritet duke arritur në </w:t>
      </w:r>
      <w:r>
        <w:rPr>
          <w:rStyle w:val="Strong"/>
          <w:rFonts w:eastAsiaTheme="majorEastAsia"/>
        </w:rPr>
        <w:t>12</w:t>
      </w:r>
      <w:r>
        <w:t xml:space="preserve"> shfaqe kulturore dhe evente artistike. Për vitet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të dhënat tregojnë se bashkia ruajti një nivel të qëndrueshëm mbështetjeje, duke financuar </w:t>
      </w:r>
      <w:r>
        <w:rPr>
          <w:rStyle w:val="Strong"/>
          <w:rFonts w:eastAsiaTheme="majorEastAsia"/>
        </w:rPr>
        <w:t>15</w:t>
      </w:r>
      <w:r>
        <w:t xml:space="preserve"> evente çdo vit. Ky stabilizim pasqyron një angazhim të vazhdueshëm për t’i ofruar komunitetit aktivitete kulturore gjithëpërfshirëse dhe cilësore. Rritja e numrit të aktiviteteve nga </w:t>
      </w:r>
      <w:r>
        <w:rPr>
          <w:rStyle w:val="Strong"/>
          <w:rFonts w:eastAsiaTheme="majorEastAsia"/>
        </w:rPr>
        <w:t>3</w:t>
      </w:r>
      <w:r>
        <w:t xml:space="preserve"> në </w:t>
      </w:r>
      <w:r>
        <w:rPr>
          <w:rStyle w:val="Strong"/>
          <w:rFonts w:eastAsiaTheme="majorEastAsia"/>
        </w:rPr>
        <w:t>15</w:t>
      </w:r>
      <w:r>
        <w:t xml:space="preserve"> ndër vite tregon një rritje të interesit dhe prioritizimit të sektorit kulturor. Kjo mund të ketë kontribuar në përmirësimin e cilësisë së jetës në komunitet. Mbështetja e vazhdueshme sugjeron gjithashtu një strategji të mirëplanifikuar investimi nga ana e bashkisë. Investimi në sektorin kulturor është i rëndësishëm për ruajtjen dhe promovimin e kulturës lokale. Analiza e këtyre të dhënave tregon një trend pozitiv dhe një përkushtim për zhvillimin e mëtejshëm të aktiviteteve artistike dhe kulturore.</w:t>
      </w:r>
    </w:p>
    <w:p w:rsidR="00273E47" w:rsidRDefault="00ED2D5A" w:rsidP="001F32AA"/>
    <w:p w:rsidR="00ED5A1B" w:rsidRDefault="00F7615D" w:rsidP="001F32AA">
      <w:r>
        <w:rPr>
          <w:noProof/>
        </w:rPr>
        <w:drawing>
          <wp:inline distT="0" distB="0" distL="0" distR="0">
            <wp:extent cx="5486400" cy="3200400"/>
            <wp:effectExtent l="0" t="0" r="0" b="0"/>
            <wp:docPr id="2430870" name="Chart 2430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D52FA" w:rsidRDefault="00ED2D5A" w:rsidP="0030311D"/>
    <w:p w:rsidR="005745F5" w:rsidRDefault="00ED2D5A"/>
    <w:p w:rsidR="001F32AA" w:rsidRDefault="00F7615D" w:rsidP="001F32AA">
      <w:pPr>
        <w:pStyle w:val="dataNameStyle"/>
      </w:pPr>
      <w:r>
        <w:t>Aktivitete për edukimin e brezit të ri</w:t>
      </w:r>
    </w:p>
    <w:p w:rsidR="001F32AA" w:rsidRDefault="00ED2D5A" w:rsidP="006A3D44"/>
    <w:p w:rsidR="0005294B" w:rsidRDefault="00F7615D">
      <w:pPr>
        <w:pStyle w:val="NormalWeb"/>
        <w:divId w:val="74598170"/>
      </w:pPr>
      <w:r>
        <w:t xml:space="preserve">Bashkia Memaliaj ka një fokus të veçantë te aktivitete për edukimin e brezit të ri ndër vite. Në vitin </w:t>
      </w:r>
      <w:r>
        <w:rPr>
          <w:rStyle w:val="Strong"/>
          <w:rFonts w:eastAsiaTheme="majorEastAsia"/>
        </w:rPr>
        <w:t>2021</w:t>
      </w:r>
      <w:r>
        <w:t xml:space="preserve">, janë regjistruar gjithsej </w:t>
      </w:r>
      <w:r>
        <w:rPr>
          <w:rStyle w:val="Strong"/>
          <w:rFonts w:eastAsiaTheme="majorEastAsia"/>
        </w:rPr>
        <w:t>20 aktivitete</w:t>
      </w:r>
      <w:r>
        <w:t xml:space="preserve">, duke sinjalizuar një fillim më të ulët krahasuar me vitet pasuese. Në </w:t>
      </w:r>
      <w:r>
        <w:rPr>
          <w:rStyle w:val="Strong"/>
          <w:rFonts w:eastAsiaTheme="majorEastAsia"/>
        </w:rPr>
        <w:t>2022</w:t>
      </w:r>
      <w:r>
        <w:t xml:space="preserve">, numri i aktiviteteve është dyfishuar, duke arritur në </w:t>
      </w:r>
      <w:r>
        <w:rPr>
          <w:rStyle w:val="Strong"/>
          <w:rFonts w:eastAsiaTheme="majorEastAsia"/>
        </w:rPr>
        <w:t>40</w:t>
      </w:r>
      <w:r>
        <w:t xml:space="preserve">, shfaqje e një përkushtimi të shtuar ndaj edukimit. Në vitin </w:t>
      </w:r>
      <w:r>
        <w:rPr>
          <w:rStyle w:val="Strong"/>
          <w:rFonts w:eastAsiaTheme="majorEastAsia"/>
        </w:rPr>
        <w:t>2023</w:t>
      </w:r>
      <w:r>
        <w:t xml:space="preserve">, kjo tendencë ka vazhduar me një stabilitet të numrit të aktiviteteve, duke qëndruar sërish në </w:t>
      </w:r>
      <w:r>
        <w:rPr>
          <w:rStyle w:val="Strong"/>
          <w:rFonts w:eastAsiaTheme="majorEastAsia"/>
        </w:rPr>
        <w:t>40</w:t>
      </w:r>
      <w:r>
        <w:t xml:space="preserve">. Vitet </w:t>
      </w:r>
      <w:r>
        <w:rPr>
          <w:rStyle w:val="Strong"/>
          <w:rFonts w:eastAsiaTheme="majorEastAsia"/>
        </w:rPr>
        <w:t>2024</w:t>
      </w:r>
      <w:r>
        <w:t xml:space="preserve">, </w:t>
      </w:r>
      <w:r>
        <w:rPr>
          <w:rStyle w:val="Strong"/>
          <w:rFonts w:eastAsiaTheme="majorEastAsia"/>
        </w:rPr>
        <w:t>2025</w:t>
      </w:r>
      <w:r>
        <w:t xml:space="preserve">, dhe </w:t>
      </w:r>
      <w:r>
        <w:rPr>
          <w:rStyle w:val="Strong"/>
          <w:rFonts w:eastAsiaTheme="majorEastAsia"/>
        </w:rPr>
        <w:t>2026</w:t>
      </w:r>
      <w:r>
        <w:t xml:space="preserve"> kanë ruajtur të njëjtin ritëm me </w:t>
      </w:r>
      <w:r>
        <w:rPr>
          <w:rStyle w:val="Strong"/>
          <w:rFonts w:eastAsiaTheme="majorEastAsia"/>
        </w:rPr>
        <w:t>40 aktivitete</w:t>
      </w:r>
      <w:r>
        <w:t xml:space="preserve"> secili vit, që tregon për një angazhim të vazhdueshëm dhe të qëndrueshëm nga ana e bashkisë. Ky model sugjeron që bashkia ka gjetur një balancë të suksesshme në organizimin e aktiviteteve edukative. Rritja fillestare nga </w:t>
      </w:r>
      <w:r>
        <w:rPr>
          <w:rStyle w:val="Strong"/>
          <w:rFonts w:eastAsiaTheme="majorEastAsia"/>
        </w:rPr>
        <w:t>2021</w:t>
      </w:r>
      <w:r>
        <w:t xml:space="preserve"> në </w:t>
      </w:r>
      <w:r>
        <w:rPr>
          <w:rStyle w:val="Strong"/>
          <w:rFonts w:eastAsiaTheme="majorEastAsia"/>
        </w:rPr>
        <w:t>2022</w:t>
      </w:r>
      <w:r>
        <w:t xml:space="preserve"> dhe vazhdimësia më pas tregon për efektshmëri në organizim. Kjo mund të jetë rezultat i miratimit të metodave më të mira ose strategjive efektive për t'i mbajtur aktivitete të qëndrueshme. Fokusimi në këtë numër të qëndrueshëm tregues, prej </w:t>
      </w:r>
      <w:r>
        <w:rPr>
          <w:rStyle w:val="Strong"/>
          <w:rFonts w:eastAsiaTheme="majorEastAsia"/>
        </w:rPr>
        <w:t>40 aktiviteteve</w:t>
      </w:r>
      <w:r>
        <w:t xml:space="preserve"> në vit, mund të jetë edhe rezultat i një vlerësimi të saktë të nevojave dhe mundësive të komunitetit. Këto të dhëna mund të përdoren për të vlerësuar ndikimin e aktiviteteve edukative në zhvillimin e brezit të ri në këtë rajon.</w:t>
      </w:r>
    </w:p>
    <w:p w:rsidR="00273E47" w:rsidRDefault="00ED2D5A" w:rsidP="001F32AA"/>
    <w:p w:rsidR="00ED5A1B" w:rsidRDefault="00F7615D" w:rsidP="001F32AA">
      <w:r>
        <w:rPr>
          <w:noProof/>
        </w:rPr>
        <w:drawing>
          <wp:inline distT="0" distB="0" distL="0" distR="0">
            <wp:extent cx="5486400" cy="3200400"/>
            <wp:effectExtent l="0" t="0" r="0" b="0"/>
            <wp:docPr id="2430871" name="Chart 2430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D52FA" w:rsidRDefault="00ED2D5A" w:rsidP="0030311D"/>
    <w:p w:rsidR="00A96BCD" w:rsidRDefault="00A96BCD" w:rsidP="00E566D9">
      <w:pPr>
        <w:pStyle w:val="firstSessionStyle"/>
      </w:pPr>
      <w:bookmarkStart w:id="42" w:name="_Toc213857420"/>
      <w:r w:rsidRPr="00A96BCD">
        <w:rPr>
          <w:b/>
        </w:rPr>
        <w:lastRenderedPageBreak/>
        <w:t>Kategoria</w:t>
      </w:r>
      <w:r>
        <w:t>: Mirëqeverisja</w:t>
      </w:r>
      <w:bookmarkEnd w:id="42"/>
    </w:p>
    <w:p w:rsidR="00E566D9" w:rsidRDefault="00E566D9" w:rsidP="00E566D9">
      <w:pPr>
        <w:pStyle w:val="NormalWeb"/>
      </w:pPr>
      <w:r>
        <w:t>Një prej shtyllave kryesore të mirëqeverisjes në nivel vendor është menaxhimi efektiv i burimeve njerëzore. Administrata vendore nuk mund të funksionojë si një strukturë efikase pa një trupë profesionale të punonjësve që sigurojnë ofrimin cilësor të shërbimeve publike. Përmes planifikimit, organizimit dhe zhvillimit të stafit, si dhe respektimit të standardeve ligjore, bashkia garanton jo vetëm funksionimin e brendshëm të administratës, por edhe rritjen e besimit të qytetarëve tek institucionet. Në këtë kuadër, mirëqeverisja lidhet drejtpërdrejt me aftësinë e bashkisë për të menaxhuar personelin në mënyrë të drejtë, transparente dhe të orientuar drejt performancës.</w:t>
      </w:r>
    </w:p>
    <w:p w:rsidR="00E566D9" w:rsidRDefault="00E566D9" w:rsidP="00E566D9"/>
    <w:p w:rsidR="00A41232" w:rsidRPr="00434583" w:rsidRDefault="00A41232" w:rsidP="00434583">
      <w:pPr>
        <w:pStyle w:val="Style1"/>
      </w:pPr>
      <w:bookmarkStart w:id="43" w:name="_Toc213857421"/>
      <w:r>
        <w:lastRenderedPageBreak/>
        <w:t>Burimet Njerëzore</w:t>
      </w:r>
      <w:bookmarkEnd w:id="43"/>
    </w:p>
    <w:p w:rsidR="00A41232" w:rsidRPr="00A41232" w:rsidRDefault="00A41232" w:rsidP="00A41232">
      <w:pPr>
        <w:rPr>
          <w:rFonts w:cs="Times New Roman"/>
          <w:lang w:val="nl-BE"/>
        </w:rPr>
      </w:pPr>
      <w:r w:rsidRPr="00A41232">
        <w:rPr>
          <w:rFonts w:cs="Times New Roman"/>
          <w:b/>
          <w:lang w:val="nl-BE"/>
        </w:rPr>
        <w:t>P</w:t>
      </w:r>
      <w:r w:rsidRPr="00A41232">
        <w:rPr>
          <w:rFonts w:cs="Times New Roman"/>
          <w:b/>
          <w:bCs/>
          <w:lang w:val="nl-BE"/>
        </w:rPr>
        <w:t>ë</w:t>
      </w:r>
      <w:r w:rsidRPr="00A41232">
        <w:rPr>
          <w:rFonts w:cs="Times New Roman"/>
          <w:b/>
          <w:lang w:val="nl-BE"/>
        </w:rPr>
        <w:t xml:space="preserve">rshkrim i përgjithshëm: </w:t>
      </w:r>
      <w:r w:rsidRPr="00A41232">
        <w:rPr>
          <w:rFonts w:cs="Times New Roman"/>
          <w:lang w:val="nl-BE"/>
        </w:rPr>
        <w:t>Bashkia ka rol të rëndësishëm në menaxhimin e burimeve njerëzore për administraten vendore dhe strukturat e varësisë. Ky funksion përfshin planifikimin, organizimin dhe zhvillimin e kapaciteteve te stafit, si dhe ndjekjen e dinamikave te personelit - duke përfshire rekrutimin, rotacionin, trajnimin dhe raportimin vjetor te te dhenave mbi stafin aktiv dhe të larguar.</w:t>
      </w:r>
    </w:p>
    <w:p w:rsidR="00A41232" w:rsidRPr="00A41232" w:rsidRDefault="00A41232" w:rsidP="00A41232">
      <w:pPr>
        <w:rPr>
          <w:rFonts w:cs="Times New Roman"/>
          <w:lang w:val="nl-BE"/>
        </w:rPr>
      </w:pPr>
      <w:r w:rsidRPr="00A41232">
        <w:rPr>
          <w:rFonts w:cs="Times New Roman"/>
          <w:lang w:val="nl-BE"/>
        </w:rPr>
        <w:t>Qëllimi është të sigurohet një trupë administrative efektive, e kualifikuar dhe në perputhje me nevojat e ofrimit të shërbimeve publike vendore.</w:t>
      </w:r>
    </w:p>
    <w:p w:rsidR="00A41232" w:rsidRPr="00A41232" w:rsidRDefault="00A41232" w:rsidP="00A41232">
      <w:pPr>
        <w:rPr>
          <w:rFonts w:cs="Times New Roman"/>
          <w:b/>
          <w:lang w:val="nl-BE"/>
        </w:rPr>
      </w:pPr>
      <w:r w:rsidRPr="00A41232">
        <w:rPr>
          <w:rFonts w:cs="Times New Roman"/>
          <w:b/>
          <w:lang w:val="nl-BE"/>
        </w:rPr>
        <w:t>Bazë ligjore:</w:t>
      </w:r>
    </w:p>
    <w:p w:rsidR="00A41232" w:rsidRPr="00A41232" w:rsidRDefault="00A41232" w:rsidP="00A41232">
      <w:pPr>
        <w:rPr>
          <w:rFonts w:cs="Times New Roman"/>
          <w:lang w:val="nl-BE"/>
        </w:rPr>
      </w:pPr>
      <w:r w:rsidRPr="00A41232">
        <w:rPr>
          <w:rFonts w:cs="Times New Roman"/>
          <w:lang w:val="nl-BE"/>
        </w:rPr>
        <w:t>Ligji Nr. 139/2015 "Për vetëqeverisjen vendore" i njeh bashkive autoritetin per organizimin e administrates së tyre dhe menaxhimin e personelit në perputhje me strukturën miratuar me vendim të Këshillit Bashkiak.</w:t>
      </w:r>
    </w:p>
    <w:p w:rsidR="00A96BCD" w:rsidRDefault="00A41232" w:rsidP="00A41232">
      <w:pPr>
        <w:rPr>
          <w:rFonts w:cs="Times New Roman"/>
          <w:lang w:val="nl-BE"/>
        </w:rPr>
      </w:pPr>
      <w:r w:rsidRPr="00A41232">
        <w:rPr>
          <w:rFonts w:cs="Times New Roman"/>
          <w:lang w:val="nl-BE"/>
        </w:rPr>
        <w:t>Për më tepr, Ligji Nr. 7961/1995 "Kodi i Punes", si dhe legjislacioni për shërbimin civil dhe aktet nënligjore per planifikimin e burimeve njerëzore percaktojne rregullat per trajtimin, trajnimet dhe procedurat për rekrutimin dhe largimin nga puna të stafit.</w:t>
      </w:r>
    </w:p>
    <w:p w:rsidR="00E566D9" w:rsidRPr="00E566D9" w:rsidRDefault="00E566D9" w:rsidP="000708F2">
      <w:pPr>
        <w:pStyle w:val="Style2"/>
      </w:pPr>
      <w:r w:rsidRPr="00434583">
        <w:t>Të dhënat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174"/>
        <w:gridCol w:w="696"/>
        <w:gridCol w:w="696"/>
        <w:gridCol w:w="696"/>
        <w:gridCol w:w="696"/>
        <w:gridCol w:w="696"/>
        <w:gridCol w:w="696"/>
      </w:tblGrid>
      <w:tr w:rsidR="00326C4C" w:rsidTr="00326C4C">
        <w:trPr>
          <w:trHeight w:val="449"/>
          <w:jc w:val="center"/>
        </w:trPr>
        <w:tc>
          <w:tcPr>
            <w:tcW w:w="0" w:type="auto"/>
            <w:shd w:val="clear" w:color="auto" w:fill="D9E1F2"/>
            <w:vAlign w:val="center"/>
          </w:tcPr>
          <w:p w:rsidR="00E566D9" w:rsidRDefault="00F7615D" w:rsidP="00E566D9">
            <w:pPr>
              <w:spacing w:after="0" w:line="200" w:lineRule="auto"/>
              <w:jc w:val="left"/>
            </w:pPr>
            <w:bookmarkStart w:id="44" w:name="te_dhenat_BNJ"/>
            <w:bookmarkEnd w:id="44"/>
            <w:r>
              <w:rPr>
                <w:b/>
              </w:rPr>
              <w:t>Emri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Punonjës që janë ulur në detyrë në administratë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Numri total i punonjësve të policisë bashkiake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Ditë trajnimi në total</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Numri total i punonjësve të bashkisë që janë larguar nga puna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Numri total i punonjëseve femra të bashkisë që kanë lëvizur nga puna brenda vitit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Zjarrëfikës në dispozicion</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w:t>
            </w:r>
          </w:p>
        </w:tc>
      </w:tr>
    </w:tbl>
    <w:p w:rsidR="00E566D9" w:rsidRDefault="00E566D9" w:rsidP="00E566D9">
      <w:pPr>
        <w:rPr>
          <w:lang w:val="nl-BE"/>
        </w:rPr>
      </w:pPr>
    </w:p>
    <w:p w:rsidR="000708F2" w:rsidRDefault="000708F2" w:rsidP="00E566D9">
      <w:pPr>
        <w:rPr>
          <w:lang w:val="nl-BE"/>
        </w:rPr>
      </w:pPr>
      <w:bookmarkStart w:id="45" w:name="te_dhenat_grafik_BNJ"/>
      <w:bookmarkEnd w:id="45"/>
    </w:p>
    <w:p w:rsidR="00C30BA9" w:rsidRDefault="00C30BA9"/>
    <w:p w:rsidR="005745F5" w:rsidRDefault="00ED2D5A"/>
    <w:p w:rsidR="00FC041B" w:rsidRDefault="00FC041B"/>
    <w:p w:rsidR="001F32AA" w:rsidRDefault="00F7615D" w:rsidP="001F32AA">
      <w:pPr>
        <w:pStyle w:val="dataNameStyle"/>
      </w:pPr>
      <w:r>
        <w:lastRenderedPageBreak/>
        <w:t>Numri total i punonjësve të policisë bashkiake</w:t>
      </w:r>
    </w:p>
    <w:p w:rsidR="001F32AA" w:rsidRDefault="00ED2D5A" w:rsidP="006A3D44"/>
    <w:p w:rsidR="0005294B" w:rsidRDefault="00F7615D">
      <w:pPr>
        <w:pStyle w:val="NormalWeb"/>
        <w:divId w:val="1996911287"/>
      </w:pPr>
      <w:r>
        <w:t xml:space="preserve">Të dhënat për numrin total të punonjësve të policisë bashkiake në bashkinë Memaliaj tregojnë një qëndrueshmëri gjatë disa viteve. </w:t>
      </w:r>
      <w:r>
        <w:rPr>
          <w:rStyle w:val="Strong"/>
          <w:rFonts w:eastAsiaTheme="majorEastAsia"/>
        </w:rPr>
        <w:t>Në vitin 2021</w:t>
      </w:r>
      <w:r>
        <w:t xml:space="preserve">, numri i punonjësve ishte </w:t>
      </w:r>
      <w:r>
        <w:rPr>
          <w:rStyle w:val="Strong"/>
          <w:rFonts w:eastAsiaTheme="majorEastAsia"/>
        </w:rPr>
        <w:t>6</w:t>
      </w:r>
      <w:r>
        <w:t xml:space="preserve">, një shifër që mbeti e pandryshuar edhe gjatë vitit </w:t>
      </w:r>
      <w:r>
        <w:rPr>
          <w:rStyle w:val="Strong"/>
          <w:rFonts w:eastAsiaTheme="majorEastAsia"/>
        </w:rPr>
        <w:t>2022</w:t>
      </w:r>
      <w:r>
        <w:t xml:space="preserve">. E njëjta shifër prej </w:t>
      </w:r>
      <w:r>
        <w:rPr>
          <w:rStyle w:val="Strong"/>
          <w:rFonts w:eastAsiaTheme="majorEastAsia"/>
        </w:rPr>
        <w:t>6</w:t>
      </w:r>
      <w:r>
        <w:t xml:space="preserve"> punonjësish u vërejt edhe në vitin </w:t>
      </w:r>
      <w:r>
        <w:rPr>
          <w:rStyle w:val="Strong"/>
          <w:rFonts w:eastAsiaTheme="majorEastAsia"/>
        </w:rPr>
        <w:t>2023</w:t>
      </w:r>
      <w:r>
        <w:t xml:space="preserve">. Në vitin </w:t>
      </w:r>
      <w:r>
        <w:rPr>
          <w:rStyle w:val="Strong"/>
          <w:rFonts w:eastAsiaTheme="majorEastAsia"/>
        </w:rPr>
        <w:t>2024</w:t>
      </w:r>
      <w:r>
        <w:t xml:space="preserve">, pati një rritje të lehtë, me numrin që arriti në </w:t>
      </w:r>
      <w:r>
        <w:rPr>
          <w:rStyle w:val="Strong"/>
          <w:rFonts w:eastAsiaTheme="majorEastAsia"/>
        </w:rPr>
        <w:t>7</w:t>
      </w:r>
      <w:r>
        <w:t xml:space="preserve"> punonjës. Kjo shifër prej </w:t>
      </w:r>
      <w:r>
        <w:rPr>
          <w:rStyle w:val="Strong"/>
          <w:rFonts w:eastAsiaTheme="majorEastAsia"/>
        </w:rPr>
        <w:t>7</w:t>
      </w:r>
      <w:r>
        <w:t xml:space="preserve"> punonjësish vazhdoi të qëndrojë e njëjtë edhe në vitet </w:t>
      </w:r>
      <w:r>
        <w:rPr>
          <w:rStyle w:val="Strong"/>
          <w:rFonts w:eastAsiaTheme="majorEastAsia"/>
        </w:rPr>
        <w:t>2025</w:t>
      </w:r>
      <w:r>
        <w:t xml:space="preserve"> dhe </w:t>
      </w:r>
      <w:r>
        <w:rPr>
          <w:rStyle w:val="Strong"/>
          <w:rFonts w:eastAsiaTheme="majorEastAsia"/>
        </w:rPr>
        <w:t>2026</w:t>
      </w:r>
      <w:r>
        <w:t xml:space="preserve">. Rritja e numrit të punonjësve më </w:t>
      </w:r>
      <w:r>
        <w:rPr>
          <w:rStyle w:val="Strong"/>
          <w:rFonts w:eastAsiaTheme="majorEastAsia"/>
        </w:rPr>
        <w:t>2024</w:t>
      </w:r>
      <w:r>
        <w:t xml:space="preserve"> mund të jetë një reflektim i nevojave në rritje për shërbime të policisë bashkiake në Memaliaj. Nga të dhënat mund të deduktohet se bashkia ka mbajtur një strukturë të pandryshuar të personelit për tre vitet e para. Ndryshimi i parë në numër është regjistruar në </w:t>
      </w:r>
      <w:r>
        <w:rPr>
          <w:rStyle w:val="Strong"/>
          <w:rFonts w:eastAsiaTheme="majorEastAsia"/>
        </w:rPr>
        <w:t>2024</w:t>
      </w:r>
      <w:r>
        <w:t>, duke ruajtur qëndrueshmërinë më pas. Ky përshkrim tregon për një planifikim të kujdesshëm dhe të qëndrueshëm në administrimin e burimeve njerëzore në këtë sektor.</w:t>
      </w:r>
    </w:p>
    <w:p w:rsidR="00273E47" w:rsidRDefault="00ED2D5A" w:rsidP="001F32AA"/>
    <w:p w:rsidR="00ED5A1B" w:rsidRDefault="00F7615D" w:rsidP="001F32AA">
      <w:r>
        <w:rPr>
          <w:noProof/>
        </w:rPr>
        <w:drawing>
          <wp:inline distT="0" distB="0" distL="0" distR="0">
            <wp:extent cx="5486400" cy="3200400"/>
            <wp:effectExtent l="0" t="0" r="0" b="0"/>
            <wp:docPr id="2430873" name="Chart 2430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52FA" w:rsidRDefault="00ED2D5A" w:rsidP="0030311D"/>
    <w:p w:rsidR="005745F5" w:rsidRDefault="00ED2D5A"/>
    <w:p w:rsidR="00FC041B" w:rsidRDefault="00FC041B"/>
    <w:p w:rsidR="00FC041B" w:rsidRDefault="00FC041B"/>
    <w:p w:rsidR="00FC041B" w:rsidRDefault="00FC041B"/>
    <w:p w:rsidR="00C30BA9" w:rsidRDefault="00C30BA9"/>
    <w:p w:rsidR="00E566D9" w:rsidRDefault="00E566D9" w:rsidP="000708F2">
      <w:pPr>
        <w:pStyle w:val="Style2"/>
      </w:pPr>
      <w:r w:rsidRPr="002A5238">
        <w:t>Treguesit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4685"/>
        <w:gridCol w:w="788"/>
        <w:gridCol w:w="788"/>
        <w:gridCol w:w="788"/>
        <w:gridCol w:w="788"/>
        <w:gridCol w:w="788"/>
        <w:gridCol w:w="725"/>
      </w:tblGrid>
      <w:tr w:rsidR="00326C4C" w:rsidTr="00326C4C">
        <w:trPr>
          <w:trHeight w:val="449"/>
          <w:jc w:val="center"/>
        </w:trPr>
        <w:tc>
          <w:tcPr>
            <w:tcW w:w="0" w:type="auto"/>
            <w:shd w:val="clear" w:color="auto" w:fill="D9E1F2"/>
            <w:vAlign w:val="center"/>
          </w:tcPr>
          <w:p w:rsidR="00E566D9" w:rsidRDefault="00F7615D" w:rsidP="00E566D9">
            <w:pPr>
              <w:spacing w:after="0" w:line="200" w:lineRule="auto"/>
              <w:jc w:val="left"/>
            </w:pPr>
            <w:bookmarkStart w:id="46" w:name="treguesit_BNJ"/>
            <w:bookmarkEnd w:id="46"/>
            <w:r>
              <w:rPr>
                <w:b/>
              </w:rPr>
              <w:t>Indikatori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Rritja e kapacitetit të punonjësve të bashkisë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29.13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33.98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47.62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47.17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51.89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56.6</w:t>
            </w:r>
          </w:p>
        </w:tc>
      </w:tr>
    </w:tbl>
    <w:p w:rsidR="00E566D9" w:rsidRDefault="00E566D9" w:rsidP="00E566D9">
      <w:pPr>
        <w:rPr>
          <w:lang w:val="nl-BE"/>
        </w:rPr>
      </w:pPr>
    </w:p>
    <w:p w:rsidR="000708F2" w:rsidRPr="00E566D9" w:rsidRDefault="000708F2" w:rsidP="00E566D9">
      <w:pPr>
        <w:rPr>
          <w:lang w:val="nl-BE"/>
        </w:rPr>
      </w:pPr>
      <w:bookmarkStart w:id="47" w:name="treguesit_grafik_BNJ"/>
      <w:bookmarkEnd w:id="47"/>
    </w:p>
    <w:p w:rsidR="005745F5" w:rsidRDefault="00ED2D5A"/>
    <w:p w:rsidR="00681F58" w:rsidRDefault="00F7615D" w:rsidP="00681F58">
      <w:pPr>
        <w:pStyle w:val="indicatorNameStyle"/>
        <w:numPr>
          <w:ilvl w:val="0"/>
          <w:numId w:val="3"/>
        </w:numPr>
      </w:pPr>
      <w:r>
        <w:t>Rritja e kapacitetit të punonjësve të bashkisë</w:t>
      </w:r>
    </w:p>
    <w:p w:rsidR="00681F58" w:rsidRDefault="00ED2D5A" w:rsidP="00DC2312"/>
    <w:p w:rsidR="00D60D23" w:rsidRDefault="00F7615D" w:rsidP="00DC2312">
      <w:pPr>
        <w:pStyle w:val="indicatordescription"/>
      </w:pPr>
      <w:r>
        <w:t>Raporti në % mes punonjësve  të trajnuar dhe punonjësve total</w:t>
      </w:r>
    </w:p>
    <w:p w:rsidR="0005294B" w:rsidRDefault="00F7615D">
      <w:pPr>
        <w:pStyle w:val="NormalWeb"/>
        <w:divId w:val="1870490916"/>
      </w:pPr>
      <w:r>
        <w:t xml:space="preserve">Të dhënat e bashkisë Memaliaj tregojnë një trend pozitiv në përqindjen e punonjësve të trajnuar në raport me numrin total të punonjësve. Në vitin </w:t>
      </w:r>
      <w:r>
        <w:rPr>
          <w:rStyle w:val="Strong"/>
          <w:rFonts w:eastAsiaTheme="majorEastAsia"/>
        </w:rPr>
        <w:t>2021</w:t>
      </w:r>
      <w:r>
        <w:t xml:space="preserve">, ky raport ishte </w:t>
      </w:r>
      <w:r>
        <w:rPr>
          <w:rStyle w:val="Strong"/>
          <w:rFonts w:eastAsiaTheme="majorEastAsia"/>
        </w:rPr>
        <w:t>29.13%</w:t>
      </w:r>
      <w:r>
        <w:t xml:space="preserve">, duke treguar një fillim modeste për përmirësimin e aftësive të stafit. Duke kaluar në vitin </w:t>
      </w:r>
      <w:r>
        <w:rPr>
          <w:rStyle w:val="Strong"/>
          <w:rFonts w:eastAsiaTheme="majorEastAsia"/>
        </w:rPr>
        <w:t>2022</w:t>
      </w:r>
      <w:r>
        <w:t xml:space="preserve">, përqindja u përmirësua në </w:t>
      </w:r>
      <w:r>
        <w:rPr>
          <w:rStyle w:val="Strong"/>
          <w:rFonts w:eastAsiaTheme="majorEastAsia"/>
        </w:rPr>
        <w:t>33.98%</w:t>
      </w:r>
      <w:r>
        <w:t xml:space="preserve">, një rritje e konsiderueshme prej rreth 4.85 pikë përqindjeje. Në </w:t>
      </w:r>
      <w:r>
        <w:rPr>
          <w:rStyle w:val="Strong"/>
          <w:rFonts w:eastAsiaTheme="majorEastAsia"/>
        </w:rPr>
        <w:t>2023</w:t>
      </w:r>
      <w:r>
        <w:t xml:space="preserve">, vërehet një rritje më dramatike, duke arritur në </w:t>
      </w:r>
      <w:r>
        <w:rPr>
          <w:rStyle w:val="Strong"/>
          <w:rFonts w:eastAsiaTheme="majorEastAsia"/>
        </w:rPr>
        <w:t>47.62%</w:t>
      </w:r>
      <w:r>
        <w:t xml:space="preserve">, që përfaqëson një rritje prej 13.64 pikë përqindjeje nga viti i kaluar. Për </w:t>
      </w:r>
      <w:r>
        <w:rPr>
          <w:rStyle w:val="Strong"/>
          <w:rFonts w:eastAsiaTheme="majorEastAsia"/>
        </w:rPr>
        <w:t>2024</w:t>
      </w:r>
      <w:r>
        <w:t xml:space="preserve">, përqindja qëndroi në një nivel pak më të ulët në </w:t>
      </w:r>
      <w:r>
        <w:rPr>
          <w:rStyle w:val="Strong"/>
          <w:rFonts w:eastAsiaTheme="majorEastAsia"/>
        </w:rPr>
        <w:t>47.17%</w:t>
      </w:r>
      <w:r>
        <w:t xml:space="preserve">, duke shfaqur një stabilizim të përkohshëm. Në </w:t>
      </w:r>
      <w:r>
        <w:rPr>
          <w:rStyle w:val="Strong"/>
          <w:rFonts w:eastAsiaTheme="majorEastAsia"/>
        </w:rPr>
        <w:t>2025</w:t>
      </w:r>
      <w:r>
        <w:t xml:space="preserve">, u pa një rritje e mëtejshme në </w:t>
      </w:r>
      <w:r>
        <w:rPr>
          <w:rStyle w:val="Strong"/>
          <w:rFonts w:eastAsiaTheme="majorEastAsia"/>
        </w:rPr>
        <w:t>51.89%</w:t>
      </w:r>
      <w:r>
        <w:t xml:space="preserve">, që përfaqëson progres të vazhdueshëm në trajnimet e stafit. Për vitin </w:t>
      </w:r>
      <w:r>
        <w:rPr>
          <w:rStyle w:val="Strong"/>
          <w:rFonts w:eastAsiaTheme="majorEastAsia"/>
        </w:rPr>
        <w:t>2026</w:t>
      </w:r>
      <w:r>
        <w:t xml:space="preserve">, përqindja u rrit në </w:t>
      </w:r>
      <w:r>
        <w:rPr>
          <w:rStyle w:val="Strong"/>
          <w:rFonts w:eastAsiaTheme="majorEastAsia"/>
        </w:rPr>
        <w:t>56.6%</w:t>
      </w:r>
      <w:r>
        <w:t>, që është më e larta gjatë këtyre viteve të raportuara. Këto shifra tregojnë një përkushtim të bashkisë për të investuar në trajnime dhe zhvillimin profesional të punonjësve të saj. Rritja e vazhdueshme sugjeron një fokus strategjik drejt përmirësimit të efikasitetit dhe cilësisë së shërbimeve publike. Këto përmirësime janë të rëndësishme për nxitjen e një ambienti pune më produktiv dhe të kualifikuar. Në përgjithësi, përpjekjet e bashkisë për ngritjen e kapaciteteve të punonjësve të saj janë premtuese për të ardhmen.</w:t>
      </w:r>
    </w:p>
    <w:p w:rsidR="00D60D23" w:rsidRDefault="00ED2D5A" w:rsidP="00681F58"/>
    <w:p w:rsidR="00822F95" w:rsidRDefault="00F7615D">
      <w:r>
        <w:rPr>
          <w:noProof/>
        </w:rPr>
        <w:lastRenderedPageBreak/>
        <w:drawing>
          <wp:inline distT="0" distB="0" distL="0" distR="0">
            <wp:extent cx="5486400" cy="3200400"/>
            <wp:effectExtent l="0" t="0" r="0" b="0"/>
            <wp:docPr id="2430875" name="Chart 2430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D52FA" w:rsidRDefault="00ED2D5A" w:rsidP="0030311D"/>
    <w:p w:rsidR="005D52FA" w:rsidRDefault="00ED2D5A" w:rsidP="0030311D"/>
    <w:p w:rsidR="005D52FA" w:rsidRDefault="00ED2D5A" w:rsidP="0030311D"/>
    <w:p w:rsidR="00017001" w:rsidRDefault="00A96BCD" w:rsidP="005F7436">
      <w:pPr>
        <w:pStyle w:val="firstSessionStyle"/>
      </w:pPr>
      <w:bookmarkStart w:id="48" w:name="_Toc213857422"/>
      <w:r w:rsidRPr="00A96BCD">
        <w:rPr>
          <w:b/>
        </w:rPr>
        <w:lastRenderedPageBreak/>
        <w:t>Kategoria</w:t>
      </w:r>
      <w:r>
        <w:t xml:space="preserve">: </w:t>
      </w:r>
      <w:r w:rsidR="00017001">
        <w:t>Menaxhimi Financiar</w:t>
      </w:r>
      <w:bookmarkEnd w:id="48"/>
    </w:p>
    <w:p w:rsidR="005F7436" w:rsidRDefault="005F7436" w:rsidP="005F7436">
      <w:pPr>
        <w:pStyle w:val="NormalWeb"/>
      </w:pPr>
      <w:r>
        <w:t>Menaxhimi financiar është një funksion kyç për sigurimin e qëndrueshmërisë dhe eficiensës së qeverisjes vendore. Ai përfshin planifikimin, administrimin dhe raportimin e burimeve financiare të bashkisë, në përputhje me parimet e përgjegjshmërisë dhe transparencës. Në përmbushjen e këtij funksioni, bashkitë udhëhiqen nga kuadri ligjor për financat vendore, përfshirë Ligjin nr. 9936, datë 26.6.2008, "Për menaxhimin e sistemit buxhetor në Republikën e Shqipërisë" dhe Ligjin nr. 68/2017, "Për financat e vetëqeverisjes vendore".</w:t>
      </w:r>
    </w:p>
    <w:p w:rsidR="005F7436" w:rsidRDefault="005F7436" w:rsidP="005F7436">
      <w:pPr>
        <w:pStyle w:val="NormalWeb"/>
      </w:pPr>
      <w:r>
        <w:t>Kjo kategori ndahet në tri fusha të veçanta, që mbulojnë ciklin financiar: të ardhurat, shpenzimet dhe buxhetimi. Vlerësimi i këtyre fushave ndihmon në monitorimin e kapaciteteve financiare të bashkive dhe në analizimin e performancës së tyre në përdorimin dhe menaxhimin e burimeve publike.</w:t>
      </w:r>
    </w:p>
    <w:p w:rsidR="005F7436" w:rsidRDefault="005F7436" w:rsidP="005F7436">
      <w:pPr>
        <w:pStyle w:val="NormalWeb"/>
      </w:pPr>
      <w:r>
        <w:t>Treguesit që përfshihen në këtë kategori janë renditur më poshtë.</w:t>
      </w:r>
    </w:p>
    <w:p w:rsidR="00400814" w:rsidRDefault="001860D1" w:rsidP="00400814">
      <w:pPr>
        <w:pStyle w:val="Style1"/>
      </w:pPr>
      <w:bookmarkStart w:id="49" w:name="_Toc213857423"/>
      <w:r>
        <w:lastRenderedPageBreak/>
        <w:t>Të A</w:t>
      </w:r>
      <w:r w:rsidR="00017001" w:rsidRPr="001860D1">
        <w:t>rdhurat</w:t>
      </w:r>
      <w:bookmarkEnd w:id="49"/>
    </w:p>
    <w:p w:rsidR="00087AE8" w:rsidRDefault="00087AE8" w:rsidP="00087AE8">
      <w:pPr>
        <w:rPr>
          <w:rFonts w:cs="Times New Roman"/>
          <w:lang w:val="nl-BE"/>
        </w:rPr>
      </w:pPr>
      <w:r w:rsidRPr="00BC38D8">
        <w:rPr>
          <w:rFonts w:cs="Times New Roman"/>
          <w:lang w:val="nl-BE"/>
        </w:rPr>
        <w:t xml:space="preserve">Kjo fushë vlerëson kapacitetin e bashkisë për të gjeneruar të ardhura të qëndrueshme dhe diversifikuara përmes burimeve të veta dhe atyre të transferuara. Analiza e të ardhurave kontribon në kuptimin e varësisë nga transfertat qendrore dhe fuqisë fiskale lokale. E drejta e njësive të vetëqeverisjes vendore për të mbledhur të ardhura buron nga </w:t>
      </w:r>
      <w:r w:rsidRPr="00BC38D8">
        <w:rPr>
          <w:rFonts w:cs="Times New Roman"/>
          <w:b/>
          <w:bCs/>
          <w:lang w:val="nl-BE"/>
        </w:rPr>
        <w:t>neni 11 i Ligjit nr.68/2017 “Për financat e vetëqeverisjes vendore”</w:t>
      </w:r>
      <w:r w:rsidRPr="00BC38D8">
        <w:rPr>
          <w:rFonts w:cs="Times New Roman"/>
          <w:lang w:val="nl-BE"/>
        </w:rPr>
        <w:t>, i cili përcakton butimet e të ardhurave që administrohen nga bashkitë.</w:t>
      </w:r>
    </w:p>
    <w:p w:rsidR="002A5238" w:rsidRPr="00BC38D8" w:rsidRDefault="002A5238" w:rsidP="00087AE8">
      <w:pPr>
        <w:rPr>
          <w:rFonts w:cs="Times New Roman"/>
          <w:lang w:val="nl-BE"/>
        </w:rPr>
      </w:pPr>
    </w:p>
    <w:p w:rsidR="00017001" w:rsidRPr="000708F2" w:rsidRDefault="00400814" w:rsidP="000708F2">
      <w:pPr>
        <w:pStyle w:val="Style2"/>
      </w:pPr>
      <w:r w:rsidRPr="000708F2">
        <w:t>Të dhë</w:t>
      </w:r>
      <w:r w:rsidR="00017001" w:rsidRPr="000708F2">
        <w:t>nat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954"/>
        <w:gridCol w:w="816"/>
        <w:gridCol w:w="2316"/>
        <w:gridCol w:w="816"/>
        <w:gridCol w:w="816"/>
        <w:gridCol w:w="816"/>
        <w:gridCol w:w="816"/>
      </w:tblGrid>
      <w:tr w:rsidR="00326C4C" w:rsidTr="00326C4C">
        <w:trPr>
          <w:trHeight w:val="449"/>
          <w:jc w:val="center"/>
        </w:trPr>
        <w:tc>
          <w:tcPr>
            <w:tcW w:w="0" w:type="auto"/>
            <w:shd w:val="clear" w:color="auto" w:fill="D9E1F2"/>
            <w:vAlign w:val="center"/>
          </w:tcPr>
          <w:p w:rsidR="00017001" w:rsidRDefault="00F7615D" w:rsidP="00017001">
            <w:pPr>
              <w:spacing w:after="0" w:line="200" w:lineRule="auto"/>
              <w:jc w:val="left"/>
            </w:pPr>
            <w:bookmarkStart w:id="50" w:name="TeArdhuratTeDhenat"/>
            <w:bookmarkEnd w:id="50"/>
            <w:r>
              <w:rPr>
                <w:b/>
              </w:rPr>
              <w:t>Emri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Te ardhurat e veta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18231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17804.042999999998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45230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45238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45246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Te ardhura nga taksa e pasurise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5260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4338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9080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9400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9400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9400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Transfera Fakt ne total (e kushtezuar, e pakushtezuar)</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r>
    </w:tbl>
    <w:p w:rsidR="00017001" w:rsidRDefault="00017001" w:rsidP="00017001">
      <w:pPr>
        <w:rPr>
          <w:lang w:val="nl-BE"/>
        </w:rPr>
      </w:pPr>
    </w:p>
    <w:p w:rsidR="00FE15F0" w:rsidRDefault="00FE15F0" w:rsidP="00017001">
      <w:pPr>
        <w:rPr>
          <w:lang w:val="nl-BE"/>
        </w:rPr>
      </w:pPr>
      <w:bookmarkStart w:id="51" w:name="te_dhenat_grafik"/>
      <w:bookmarkEnd w:id="51"/>
    </w:p>
    <w:p w:rsidR="005745F5" w:rsidRDefault="00ED2D5A"/>
    <w:p w:rsidR="001F32AA" w:rsidRDefault="00F7615D" w:rsidP="001F32AA">
      <w:pPr>
        <w:pStyle w:val="dataNameStyle"/>
      </w:pPr>
      <w:r>
        <w:t>Te ardhurat e veta</w:t>
      </w:r>
    </w:p>
    <w:p w:rsidR="001F32AA" w:rsidRDefault="00ED2D5A" w:rsidP="006A3D44"/>
    <w:p w:rsidR="0005294B" w:rsidRDefault="00F7615D">
      <w:pPr>
        <w:pStyle w:val="NormalWeb"/>
        <w:divId w:val="631327503"/>
      </w:pPr>
      <w:r>
        <w:t xml:space="preserve">Të ardhurat e veta për Bashkinë Memaliaj tregojnë një trend interesant gjatë viteve të fundit. Në </w:t>
      </w:r>
      <w:r>
        <w:rPr>
          <w:rStyle w:val="Strong"/>
          <w:rFonts w:eastAsiaTheme="majorEastAsia"/>
        </w:rPr>
        <w:t>2021</w:t>
      </w:r>
      <w:r>
        <w:t xml:space="preserve">, të ardhurat e regjistruara ishin </w:t>
      </w:r>
      <w:r>
        <w:rPr>
          <w:rStyle w:val="Strong"/>
          <w:rFonts w:eastAsiaTheme="majorEastAsia"/>
        </w:rPr>
        <w:t>18,231</w:t>
      </w:r>
      <w:r>
        <w:t xml:space="preserve"> njësi monetare, çka mund të konsiderohet një bazë fillestare për analizën tonë. Megjithatë, në </w:t>
      </w:r>
      <w:r>
        <w:rPr>
          <w:rStyle w:val="Strong"/>
          <w:rFonts w:eastAsiaTheme="majorEastAsia"/>
        </w:rPr>
        <w:t>2022</w:t>
      </w:r>
      <w:r>
        <w:t xml:space="preserve">, ka një zvogëlim të lehtë të të ardhurave në </w:t>
      </w:r>
      <w:r>
        <w:rPr>
          <w:rStyle w:val="Strong"/>
          <w:rFonts w:eastAsiaTheme="majorEastAsia"/>
        </w:rPr>
        <w:t>17,804.04</w:t>
      </w:r>
      <w:r>
        <w:t xml:space="preserve"> njësi. Ky ulje mund të interpretohet si rezultat i faktorëve ekonomikë ose politikë specifikë për atë vit. Në </w:t>
      </w:r>
      <w:r>
        <w:rPr>
          <w:rStyle w:val="Strong"/>
          <w:rFonts w:eastAsiaTheme="majorEastAsia"/>
        </w:rPr>
        <w:t>2023</w:t>
      </w:r>
      <w:r>
        <w:t xml:space="preserve">, ka një rritje të ndieshme, ku të ardhurat arrijnë në </w:t>
      </w:r>
      <w:r>
        <w:rPr>
          <w:rStyle w:val="Strong"/>
          <w:rFonts w:eastAsiaTheme="majorEastAsia"/>
        </w:rPr>
        <w:t>30,000</w:t>
      </w:r>
      <w:r>
        <w:t xml:space="preserve"> njësi, duke reflektuar përmirësime të mundshme në menaxhimin e burimeve ose politika stimuluese. Viti </w:t>
      </w:r>
      <w:r>
        <w:rPr>
          <w:rStyle w:val="Strong"/>
          <w:rFonts w:eastAsiaTheme="majorEastAsia"/>
        </w:rPr>
        <w:t>2024</w:t>
      </w:r>
      <w:r>
        <w:t xml:space="preserve"> sjell një rritje të madhe, me të ardhurat duke arritur në </w:t>
      </w:r>
      <w:r>
        <w:rPr>
          <w:rStyle w:val="Strong"/>
          <w:rFonts w:eastAsiaTheme="majorEastAsia"/>
        </w:rPr>
        <w:t>45,230</w:t>
      </w:r>
      <w:r>
        <w:t xml:space="preserve"> njësi. Ky pattern vazhdon me shumë stabilitet në vitet </w:t>
      </w:r>
      <w:r>
        <w:rPr>
          <w:rStyle w:val="Strong"/>
          <w:rFonts w:eastAsiaTheme="majorEastAsia"/>
        </w:rPr>
        <w:t>2025</w:t>
      </w:r>
      <w:r>
        <w:t xml:space="preserve"> dhe </w:t>
      </w:r>
      <w:r>
        <w:rPr>
          <w:rStyle w:val="Strong"/>
          <w:rFonts w:eastAsiaTheme="majorEastAsia"/>
        </w:rPr>
        <w:t>2026</w:t>
      </w:r>
      <w:r>
        <w:t xml:space="preserve">, me një rritje të lehtë në </w:t>
      </w:r>
      <w:r>
        <w:rPr>
          <w:rStyle w:val="Strong"/>
          <w:rFonts w:eastAsiaTheme="majorEastAsia"/>
        </w:rPr>
        <w:t>45,238</w:t>
      </w:r>
      <w:r>
        <w:t xml:space="preserve"> dhe </w:t>
      </w:r>
      <w:r>
        <w:rPr>
          <w:rStyle w:val="Strong"/>
          <w:rFonts w:eastAsiaTheme="majorEastAsia"/>
        </w:rPr>
        <w:t>45,246</w:t>
      </w:r>
      <w:r>
        <w:t xml:space="preserve"> njësi respektivisht. Kjo tendencë sugjeron një konsolidim të fortë të burimeve financiare të bashkisë për këto vite. Ngitja graduale e të ardhurave në periudhën kohore </w:t>
      </w:r>
      <w:r>
        <w:rPr>
          <w:rStyle w:val="Strong"/>
          <w:rFonts w:eastAsiaTheme="majorEastAsia"/>
        </w:rPr>
        <w:t>2023-2026</w:t>
      </w:r>
      <w:r>
        <w:t xml:space="preserve"> tregon se Memaliaj po punon drejt një zhvillimi të qëndrueshëm ekonomik. Sipas të dhënave, të ardhurat janë më shumë se dyfishuar që nga viti </w:t>
      </w:r>
      <w:r>
        <w:rPr>
          <w:rStyle w:val="Strong"/>
          <w:rFonts w:eastAsiaTheme="majorEastAsia"/>
        </w:rPr>
        <w:t>2021</w:t>
      </w:r>
      <w:r>
        <w:t xml:space="preserve"> deri në </w:t>
      </w:r>
      <w:r>
        <w:rPr>
          <w:rStyle w:val="Strong"/>
          <w:rFonts w:eastAsiaTheme="majorEastAsia"/>
        </w:rPr>
        <w:t>2026</w:t>
      </w:r>
      <w:r>
        <w:t>.</w:t>
      </w:r>
    </w:p>
    <w:p w:rsidR="00273E47" w:rsidRDefault="00ED2D5A" w:rsidP="001F32AA"/>
    <w:p w:rsidR="00ED5A1B" w:rsidRDefault="00F7615D" w:rsidP="001F32AA">
      <w:r>
        <w:rPr>
          <w:noProof/>
        </w:rPr>
        <w:lastRenderedPageBreak/>
        <w:drawing>
          <wp:inline distT="0" distB="0" distL="0" distR="0">
            <wp:extent cx="5486400" cy="3200400"/>
            <wp:effectExtent l="0" t="0" r="0" b="0"/>
            <wp:docPr id="2430876" name="Chart 2430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D52FA" w:rsidRDefault="00ED2D5A" w:rsidP="0030311D"/>
    <w:p w:rsidR="005745F5" w:rsidRDefault="00ED2D5A"/>
    <w:p w:rsidR="001F32AA" w:rsidRDefault="00F7615D" w:rsidP="001F32AA">
      <w:pPr>
        <w:pStyle w:val="dataNameStyle"/>
      </w:pPr>
      <w:r>
        <w:t>Te ardhura nga taksa e pasurise</w:t>
      </w:r>
    </w:p>
    <w:p w:rsidR="001F32AA" w:rsidRDefault="00ED2D5A" w:rsidP="006A3D44"/>
    <w:p w:rsidR="0005294B" w:rsidRDefault="00F7615D">
      <w:pPr>
        <w:pStyle w:val="NormalWeb"/>
        <w:divId w:val="1874413921"/>
      </w:pPr>
      <w:r>
        <w:t xml:space="preserve">Në periudhën </w:t>
      </w:r>
      <w:r>
        <w:rPr>
          <w:rStyle w:val="Strong"/>
          <w:rFonts w:eastAsiaTheme="majorEastAsia"/>
        </w:rPr>
        <w:t>2021</w:t>
      </w:r>
      <w:r>
        <w:t xml:space="preserve"> deri në </w:t>
      </w:r>
      <w:r>
        <w:rPr>
          <w:rStyle w:val="Strong"/>
          <w:rFonts w:eastAsiaTheme="majorEastAsia"/>
        </w:rPr>
        <w:t>2026</w:t>
      </w:r>
      <w:r>
        <w:t xml:space="preserve">, të ardhurat nga taksa e pasurisë në Bashkinë Memaliaj kanë treguar një ndryshim të dukshëm. Në vitin </w:t>
      </w:r>
      <w:r>
        <w:rPr>
          <w:rStyle w:val="Strong"/>
          <w:rFonts w:eastAsiaTheme="majorEastAsia"/>
        </w:rPr>
        <w:t>2021</w:t>
      </w:r>
      <w:r>
        <w:t xml:space="preserve">, të ardhurat ishin </w:t>
      </w:r>
      <w:r>
        <w:rPr>
          <w:rStyle w:val="Strong"/>
          <w:rFonts w:eastAsiaTheme="majorEastAsia"/>
        </w:rPr>
        <w:t>5260</w:t>
      </w:r>
      <w:r>
        <w:t xml:space="preserve">, ndërsa në </w:t>
      </w:r>
      <w:r>
        <w:rPr>
          <w:rStyle w:val="Strong"/>
          <w:rFonts w:eastAsiaTheme="majorEastAsia"/>
        </w:rPr>
        <w:t>2022</w:t>
      </w:r>
      <w:r>
        <w:t xml:space="preserve"> pati një rënie të konsiderueshme në </w:t>
      </w:r>
      <w:r>
        <w:rPr>
          <w:rStyle w:val="Strong"/>
          <w:rFonts w:eastAsiaTheme="majorEastAsia"/>
        </w:rPr>
        <w:t>4338</w:t>
      </w:r>
      <w:r>
        <w:t xml:space="preserve">. Pas kësaj periudhe, në </w:t>
      </w:r>
      <w:r>
        <w:rPr>
          <w:rStyle w:val="Strong"/>
          <w:rFonts w:eastAsiaTheme="majorEastAsia"/>
        </w:rPr>
        <w:t>2023</w:t>
      </w:r>
      <w:r>
        <w:t xml:space="preserve">, u vu re një rritje e madhe duke arritur në </w:t>
      </w:r>
      <w:r>
        <w:rPr>
          <w:rStyle w:val="Strong"/>
          <w:rFonts w:eastAsiaTheme="majorEastAsia"/>
        </w:rPr>
        <w:t>9080</w:t>
      </w:r>
      <w:r>
        <w:t xml:space="preserve">. Ky trend rritës vazhdoi në vitin </w:t>
      </w:r>
      <w:r>
        <w:rPr>
          <w:rStyle w:val="Strong"/>
          <w:rFonts w:eastAsiaTheme="majorEastAsia"/>
        </w:rPr>
        <w:t>2024</w:t>
      </w:r>
      <w:r>
        <w:t xml:space="preserve">, kur të ardhurat u stabilizuan në </w:t>
      </w:r>
      <w:r>
        <w:rPr>
          <w:rStyle w:val="Strong"/>
          <w:rFonts w:eastAsiaTheme="majorEastAsia"/>
        </w:rPr>
        <w:t>9400</w:t>
      </w:r>
      <w:r>
        <w:t xml:space="preserve">, vlerë që pritet të mbetet e qëndrueshme edhe në vitet </w:t>
      </w:r>
      <w:r>
        <w:rPr>
          <w:rStyle w:val="Strong"/>
          <w:rFonts w:eastAsiaTheme="majorEastAsia"/>
        </w:rPr>
        <w:t>2025</w:t>
      </w:r>
      <w:r>
        <w:t xml:space="preserve"> dhe </w:t>
      </w:r>
      <w:r>
        <w:rPr>
          <w:rStyle w:val="Strong"/>
          <w:rFonts w:eastAsiaTheme="majorEastAsia"/>
        </w:rPr>
        <w:t>2026</w:t>
      </w:r>
      <w:r>
        <w:t xml:space="preserve">. Kjo rritje nga </w:t>
      </w:r>
      <w:r>
        <w:rPr>
          <w:rStyle w:val="Strong"/>
          <w:rFonts w:eastAsiaTheme="majorEastAsia"/>
        </w:rPr>
        <w:t>2022</w:t>
      </w:r>
      <w:r>
        <w:t xml:space="preserve"> në </w:t>
      </w:r>
      <w:r>
        <w:rPr>
          <w:rStyle w:val="Strong"/>
          <w:rFonts w:eastAsiaTheme="majorEastAsia"/>
        </w:rPr>
        <w:t>2023</w:t>
      </w:r>
      <w:r>
        <w:t xml:space="preserve"> dhe stabiliteti pasues sugjeron një përmirësim të politikës fiskale ose rritje të vlerës së pasurisë në bashki. Kontributi i pasurisë në financat publike është thelbësor dhe i qëndrueshëm nga </w:t>
      </w:r>
      <w:r>
        <w:rPr>
          <w:rStyle w:val="Strong"/>
          <w:rFonts w:eastAsiaTheme="majorEastAsia"/>
        </w:rPr>
        <w:t>2024</w:t>
      </w:r>
      <w:r>
        <w:t xml:space="preserve"> e në vijim. Të ardhurat në </w:t>
      </w:r>
      <w:r>
        <w:rPr>
          <w:rStyle w:val="Strong"/>
          <w:rFonts w:eastAsiaTheme="majorEastAsia"/>
        </w:rPr>
        <w:t>2023</w:t>
      </w:r>
      <w:r>
        <w:t xml:space="preserve"> pothuajse u dyfishuan krahasuar me vitin </w:t>
      </w:r>
      <w:r>
        <w:rPr>
          <w:rStyle w:val="Strong"/>
          <w:rFonts w:eastAsiaTheme="majorEastAsia"/>
        </w:rPr>
        <w:t>2022</w:t>
      </w:r>
      <w:r>
        <w:t xml:space="preserve">. Stabiliteti në </w:t>
      </w:r>
      <w:r>
        <w:rPr>
          <w:rStyle w:val="Strong"/>
          <w:rFonts w:eastAsiaTheme="majorEastAsia"/>
        </w:rPr>
        <w:t>2024</w:t>
      </w:r>
      <w:r>
        <w:t xml:space="preserve"> dhe vitet pasuese tregon për një bazë më të qëndrueshme financiare. Përmirësimi financiar mund të ndikojë pozitivisht në investimet dhe zhvillimin lokal.</w:t>
      </w:r>
    </w:p>
    <w:p w:rsidR="00273E47" w:rsidRDefault="00ED2D5A" w:rsidP="001F32AA"/>
    <w:p w:rsidR="00ED5A1B" w:rsidRDefault="00F7615D" w:rsidP="001F32AA">
      <w:r>
        <w:rPr>
          <w:noProof/>
        </w:rPr>
        <w:lastRenderedPageBreak/>
        <w:drawing>
          <wp:inline distT="0" distB="0" distL="0" distR="0">
            <wp:extent cx="5486400" cy="3200400"/>
            <wp:effectExtent l="0" t="0" r="0" b="0"/>
            <wp:docPr id="2430877" name="Chart 2430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D52FA" w:rsidRDefault="00ED2D5A" w:rsidP="0030311D"/>
    <w:p w:rsidR="00ED5A1B" w:rsidRDefault="00ED2D5A" w:rsidP="001F32AA"/>
    <w:p w:rsidR="005D52FA" w:rsidRDefault="00ED2D5A" w:rsidP="0030311D"/>
    <w:p w:rsidR="00017001" w:rsidRPr="002A5238" w:rsidRDefault="00017001" w:rsidP="000708F2">
      <w:pPr>
        <w:pStyle w:val="Style2"/>
      </w:pPr>
      <w:r w:rsidRPr="002A5238">
        <w:t>Treguesit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174"/>
        <w:gridCol w:w="696"/>
        <w:gridCol w:w="696"/>
        <w:gridCol w:w="696"/>
        <w:gridCol w:w="696"/>
        <w:gridCol w:w="696"/>
        <w:gridCol w:w="696"/>
      </w:tblGrid>
      <w:tr w:rsidR="00326C4C" w:rsidTr="00326C4C">
        <w:trPr>
          <w:trHeight w:val="449"/>
          <w:jc w:val="center"/>
        </w:trPr>
        <w:tc>
          <w:tcPr>
            <w:tcW w:w="0" w:type="auto"/>
            <w:shd w:val="clear" w:color="auto" w:fill="D9E1F2"/>
            <w:vAlign w:val="center"/>
          </w:tcPr>
          <w:p w:rsidR="00017001" w:rsidRDefault="00F7615D" w:rsidP="00017001">
            <w:pPr>
              <w:spacing w:after="0" w:line="200" w:lineRule="auto"/>
              <w:jc w:val="left"/>
            </w:pPr>
            <w:bookmarkStart w:id="52" w:name="TeArdhuratIndikatoret"/>
            <w:bookmarkEnd w:id="52"/>
            <w:r>
              <w:rPr>
                <w:b/>
              </w:rPr>
              <w:t>Indikatori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Te ardhura per fryme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0.91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0.89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Te ardhurat nga taksa e pasurise ne raport me te ardhurat vendore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0.21</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Te ardhurat e veta perkundrejt transfertave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r>
    </w:tbl>
    <w:p w:rsidR="00017001" w:rsidRDefault="00017001" w:rsidP="00017001">
      <w:pPr>
        <w:rPr>
          <w:lang w:val="nl-BE"/>
        </w:rPr>
      </w:pPr>
    </w:p>
    <w:p w:rsidR="005745F5" w:rsidRPr="00FC041B" w:rsidRDefault="008E6EFE">
      <w:pPr>
        <w:rPr>
          <w:lang w:val="nl-BE"/>
        </w:rPr>
      </w:pPr>
      <w:bookmarkStart w:id="53" w:name="treguesitArdhur_grafik"/>
      <w:bookmarkEnd w:id="53"/>
      <w:r>
        <w:rPr>
          <w:lang w:val="nl-BE"/>
        </w:rPr>
        <w:br w:type="page"/>
      </w:r>
    </w:p>
    <w:p w:rsidR="00681F58" w:rsidRDefault="00F7615D" w:rsidP="00681F58">
      <w:pPr>
        <w:pStyle w:val="indicatorNameStyle"/>
        <w:numPr>
          <w:ilvl w:val="0"/>
          <w:numId w:val="3"/>
        </w:numPr>
      </w:pPr>
      <w:r>
        <w:lastRenderedPageBreak/>
        <w:t>Te ardhura per fryme</w:t>
      </w:r>
    </w:p>
    <w:p w:rsidR="00681F58" w:rsidRDefault="00ED2D5A" w:rsidP="00DC2312"/>
    <w:p w:rsidR="0005294B" w:rsidRDefault="00F7615D">
      <w:pPr>
        <w:pStyle w:val="NormalWeb"/>
        <w:divId w:val="651057998"/>
      </w:pPr>
      <w:r>
        <w:t xml:space="preserve">Të dhënat e bashkisë Memaliaj tregojnë një tendencë të ndryshimit në disa vite. Në vitin </w:t>
      </w:r>
      <w:r>
        <w:rPr>
          <w:rStyle w:val="Strong"/>
          <w:rFonts w:eastAsiaTheme="majorEastAsia"/>
        </w:rPr>
        <w:t>2021</w:t>
      </w:r>
      <w:r>
        <w:t xml:space="preserve">, vlera ishte </w:t>
      </w:r>
      <w:r>
        <w:rPr>
          <w:rStyle w:val="Strong"/>
          <w:rFonts w:eastAsiaTheme="majorEastAsia"/>
        </w:rPr>
        <w:t>0.91</w:t>
      </w:r>
      <w:r>
        <w:t xml:space="preserve">, duke shënuar ndoshta një pikë referimi fillestare të ulët. Në </w:t>
      </w:r>
      <w:r>
        <w:rPr>
          <w:rStyle w:val="Strong"/>
          <w:rFonts w:eastAsiaTheme="majorEastAsia"/>
        </w:rPr>
        <w:t>2022</w:t>
      </w:r>
      <w:r>
        <w:t xml:space="preserve">, vlera pësoi një rënie të lehtë në </w:t>
      </w:r>
      <w:r>
        <w:rPr>
          <w:rStyle w:val="Strong"/>
          <w:rFonts w:eastAsiaTheme="majorEastAsia"/>
        </w:rPr>
        <w:t>0.89</w:t>
      </w:r>
      <w:r>
        <w:t xml:space="preserve">. Megjithatë, në vitin </w:t>
      </w:r>
      <w:r>
        <w:rPr>
          <w:rStyle w:val="Strong"/>
          <w:rFonts w:eastAsiaTheme="majorEastAsia"/>
        </w:rPr>
        <w:t>2023</w:t>
      </w:r>
      <w:r>
        <w:t xml:space="preserve">, vlera u rrit ndjeshëm në </w:t>
      </w:r>
      <w:r>
        <w:rPr>
          <w:rStyle w:val="Strong"/>
          <w:rFonts w:eastAsiaTheme="majorEastAsia"/>
        </w:rPr>
        <w:t>2.28</w:t>
      </w:r>
      <w:r>
        <w:t xml:space="preserve">, duke treguar një përmirësim të dukshëm ose zgjerim në ndonjë parametër specifik. Viti </w:t>
      </w:r>
      <w:r>
        <w:rPr>
          <w:rStyle w:val="Strong"/>
          <w:rFonts w:eastAsiaTheme="majorEastAsia"/>
        </w:rPr>
        <w:t>2024</w:t>
      </w:r>
      <w:r>
        <w:t xml:space="preserve"> pa një rënie të vogël në </w:t>
      </w:r>
      <w:r>
        <w:rPr>
          <w:rStyle w:val="Strong"/>
          <w:rFonts w:eastAsiaTheme="majorEastAsia"/>
        </w:rPr>
        <w:t>2.24</w:t>
      </w:r>
      <w:r>
        <w:t xml:space="preserve">, por kjo është një rregullim i vogël krahasuar me rritjen e mëparshme. Në vitin </w:t>
      </w:r>
      <w:r>
        <w:rPr>
          <w:rStyle w:val="Strong"/>
          <w:rFonts w:eastAsiaTheme="majorEastAsia"/>
        </w:rPr>
        <w:t>2025</w:t>
      </w:r>
      <w:r>
        <w:t xml:space="preserve">, vlera u rrit përsëri në </w:t>
      </w:r>
      <w:r>
        <w:rPr>
          <w:rStyle w:val="Strong"/>
          <w:rFonts w:eastAsiaTheme="majorEastAsia"/>
        </w:rPr>
        <w:t>2.25</w:t>
      </w:r>
      <w:r>
        <w:t xml:space="preserve">, duke sugjeruar një stabilizim të lehtë të treguesve. Vlera mbetet e qëndrueshme në </w:t>
      </w:r>
      <w:r>
        <w:rPr>
          <w:rStyle w:val="Strong"/>
          <w:rFonts w:eastAsiaTheme="majorEastAsia"/>
        </w:rPr>
        <w:t>2026</w:t>
      </w:r>
      <w:r>
        <w:t xml:space="preserve">, me të njëjtën vlerë prej </w:t>
      </w:r>
      <w:r>
        <w:rPr>
          <w:rStyle w:val="Strong"/>
          <w:rFonts w:eastAsiaTheme="majorEastAsia"/>
        </w:rPr>
        <w:t>2.25</w:t>
      </w:r>
      <w:r>
        <w:t xml:space="preserve">. Kjo periudhë tregon një zhvillim të qëndrueshëm pas një rritjeje të shpejtë. Ndryshimet e shënuara mund të reflektojnë investime, përmirësime infrastrukturore, ose zhvillime të tjera të rëndësishme në zonën e Memaliajt. Evolucioni i këtyre vlerave sugjeron një përmirësim të qëndrueshëm që nga viti </w:t>
      </w:r>
      <w:r>
        <w:rPr>
          <w:rStyle w:val="Strong"/>
          <w:rFonts w:eastAsiaTheme="majorEastAsia"/>
        </w:rPr>
        <w:t>2023</w:t>
      </w:r>
      <w:r>
        <w:t>. Këto të dhëna mund të jenë një tregues i qartë i tendencave pozitive apo ndryshimeve strukturore në bashki.</w:t>
      </w:r>
    </w:p>
    <w:p w:rsidR="00D60D23" w:rsidRDefault="00ED2D5A" w:rsidP="00681F58"/>
    <w:p w:rsidR="00822F95" w:rsidRDefault="00F7615D">
      <w:r>
        <w:rPr>
          <w:noProof/>
        </w:rPr>
        <w:drawing>
          <wp:inline distT="0" distB="0" distL="0" distR="0">
            <wp:extent cx="5486400" cy="3200400"/>
            <wp:effectExtent l="0" t="0" r="0" b="0"/>
            <wp:docPr id="2430879" name="Chart 2430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D52FA" w:rsidRDefault="00ED2D5A" w:rsidP="0030311D"/>
    <w:p w:rsidR="005D52FA" w:rsidRDefault="00ED2D5A" w:rsidP="0030311D"/>
    <w:p w:rsidR="005D52FA" w:rsidRDefault="00ED2D5A" w:rsidP="0030311D"/>
    <w:p w:rsidR="005745F5" w:rsidRDefault="00ED2D5A"/>
    <w:p w:rsidR="00681F58" w:rsidRDefault="00F7615D" w:rsidP="00681F58">
      <w:pPr>
        <w:pStyle w:val="indicatorNameStyle"/>
        <w:numPr>
          <w:ilvl w:val="0"/>
          <w:numId w:val="3"/>
        </w:numPr>
      </w:pPr>
      <w:r>
        <w:lastRenderedPageBreak/>
        <w:t>Te ardhurat nga taksa e pasurise ne raport me te ardhurat vendore</w:t>
      </w:r>
    </w:p>
    <w:p w:rsidR="00681F58" w:rsidRDefault="00ED2D5A" w:rsidP="00DC2312"/>
    <w:p w:rsidR="0005294B" w:rsidRDefault="00F7615D">
      <w:pPr>
        <w:pStyle w:val="NormalWeb"/>
        <w:divId w:val="1441409550"/>
      </w:pPr>
      <w:r>
        <w:t xml:space="preserve">Të dhënat e bashkisë Memaliaj tregojnë një variacion në vlerat e analizave gjatë viteve 2021 deri 2026. Në vitin </w:t>
      </w:r>
      <w:r>
        <w:rPr>
          <w:rStyle w:val="Strong"/>
          <w:rFonts w:eastAsiaTheme="majorEastAsia"/>
        </w:rPr>
        <w:t>2021</w:t>
      </w:r>
      <w:r>
        <w:t xml:space="preserve">, vlera ishte </w:t>
      </w:r>
      <w:r>
        <w:rPr>
          <w:rStyle w:val="Strong"/>
          <w:rFonts w:eastAsiaTheme="majorEastAsia"/>
        </w:rPr>
        <w:t>0.29</w:t>
      </w:r>
      <w:r>
        <w:t xml:space="preserve">, duke treguar një fillim pozitiv ose një rritje fillestare në parametra të caktuar. Viti </w:t>
      </w:r>
      <w:r>
        <w:rPr>
          <w:rStyle w:val="Strong"/>
          <w:rFonts w:eastAsiaTheme="majorEastAsia"/>
        </w:rPr>
        <w:t>2022</w:t>
      </w:r>
      <w:r>
        <w:t xml:space="preserve"> shënoi një ulje në vlerën </w:t>
      </w:r>
      <w:r>
        <w:rPr>
          <w:rStyle w:val="Strong"/>
          <w:rFonts w:eastAsiaTheme="majorEastAsia"/>
        </w:rPr>
        <w:t>0.24</w:t>
      </w:r>
      <w:r>
        <w:t xml:space="preserve">, që mund të tregojë një sfidë ose pengesë të hasur gjatë këtij periudhe. Në </w:t>
      </w:r>
      <w:r>
        <w:rPr>
          <w:rStyle w:val="Strong"/>
          <w:rFonts w:eastAsiaTheme="majorEastAsia"/>
        </w:rPr>
        <w:t>2023</w:t>
      </w:r>
      <w:r>
        <w:t xml:space="preserve">, vlera u rrit përsëri në </w:t>
      </w:r>
      <w:r>
        <w:rPr>
          <w:rStyle w:val="Strong"/>
          <w:rFonts w:eastAsiaTheme="majorEastAsia"/>
        </w:rPr>
        <w:t>0.3</w:t>
      </w:r>
      <w:r>
        <w:t xml:space="preserve">, duke treguar një përmirësim të mundshëm ose ndërhyrje të suksesshme. Sidoqoftë, në </w:t>
      </w:r>
      <w:r>
        <w:rPr>
          <w:rStyle w:val="Strong"/>
          <w:rFonts w:eastAsiaTheme="majorEastAsia"/>
        </w:rPr>
        <w:t>2024</w:t>
      </w:r>
      <w:r>
        <w:t xml:space="preserve">, vlera ra ndjeshëm në </w:t>
      </w:r>
      <w:r>
        <w:rPr>
          <w:rStyle w:val="Strong"/>
          <w:rFonts w:eastAsiaTheme="majorEastAsia"/>
        </w:rPr>
        <w:t>0.21</w:t>
      </w:r>
      <w:r>
        <w:t xml:space="preserve">, dhe kjo shifër mbeti konstante në </w:t>
      </w:r>
      <w:r>
        <w:rPr>
          <w:rStyle w:val="Strong"/>
          <w:rFonts w:eastAsiaTheme="majorEastAsia"/>
        </w:rPr>
        <w:t>2025</w:t>
      </w:r>
      <w:r>
        <w:t xml:space="preserve"> dhe </w:t>
      </w:r>
      <w:r>
        <w:rPr>
          <w:rStyle w:val="Strong"/>
          <w:rFonts w:eastAsiaTheme="majorEastAsia"/>
        </w:rPr>
        <w:t>2026</w:t>
      </w:r>
      <w:r>
        <w:t xml:space="preserve">. Stabiliteti në </w:t>
      </w:r>
      <w:r>
        <w:rPr>
          <w:rStyle w:val="Strong"/>
          <w:rFonts w:eastAsiaTheme="majorEastAsia"/>
        </w:rPr>
        <w:t>0.21</w:t>
      </w:r>
      <w:r>
        <w:t xml:space="preserve"> për tre vite radhazi sinjalizon një periudhë të qëndrueshme, por me nevojë për përmirësime të mëtejshme. Ky trend i të dhënave sugjeron se pas një periudhe rritjeje dhe uljeje, situata është stabilizuar, por ka nevojë për strategji afatgjata për progres. Interpretimet për këtë variacion mund të lidhen me faktorë socio-ekonomikë, politikë ose administrativë që kanë ndikuar në performancën e bashkisë. Monitorimi i ardhshëm dhe marrja e masave proaktive janë të rëndësishme për të përmirësuar këto vlera.</w:t>
      </w:r>
    </w:p>
    <w:p w:rsidR="00D60D23" w:rsidRDefault="00ED2D5A" w:rsidP="00681F58"/>
    <w:p w:rsidR="00822F95" w:rsidRDefault="00F7615D">
      <w:r>
        <w:rPr>
          <w:noProof/>
        </w:rPr>
        <w:drawing>
          <wp:inline distT="0" distB="0" distL="0" distR="0">
            <wp:extent cx="5486400" cy="3200400"/>
            <wp:effectExtent l="0" t="0" r="0" b="0"/>
            <wp:docPr id="1902859296" name="Chart 1902859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D52FA" w:rsidRDefault="00ED2D5A" w:rsidP="0030311D"/>
    <w:p w:rsidR="005D52FA" w:rsidRDefault="00ED2D5A" w:rsidP="0030311D"/>
    <w:p w:rsidR="005D52FA" w:rsidRDefault="00ED2D5A" w:rsidP="0030311D"/>
    <w:p w:rsidR="005745F5" w:rsidRDefault="00ED2D5A"/>
    <w:p w:rsidR="00822F95" w:rsidRDefault="00ED2D5A"/>
    <w:p w:rsidR="00017001" w:rsidRDefault="008E6EFE" w:rsidP="008E6EFE">
      <w:pPr>
        <w:pStyle w:val="Style1"/>
      </w:pPr>
      <w:bookmarkStart w:id="54" w:name="_Toc213857424"/>
      <w:r>
        <w:lastRenderedPageBreak/>
        <w:t>Buxheti</w:t>
      </w:r>
      <w:bookmarkEnd w:id="54"/>
    </w:p>
    <w:p w:rsidR="00537DAF" w:rsidRDefault="00E46253" w:rsidP="00537DAF">
      <w:pPr>
        <w:rPr>
          <w:rFonts w:cs="Times New Roman"/>
          <w:lang w:val="nl-BE"/>
        </w:rPr>
      </w:pPr>
      <w:r w:rsidRPr="00BC38D8">
        <w:rPr>
          <w:rFonts w:cs="Times New Roman"/>
          <w:lang w:val="nl-BE"/>
        </w:rPr>
        <w:t>Fusha e buxhetit fokusohet në procesin e hartimit, miratimit dhe zbatimit të buxhetit vjetor bashkiak. Si dhe përputhshmërinë me ciklin buxhetor. Procesi i planifikimit dhe miratimit të buxhetit lokal rregullohet nga neni 21-25 i Ligjit nr 9936, date 26.06.2008 “Për menaxhimin e sistemit buxhetor në Republikën e Shqipërisë”, Ligji nr.68/2017 “ Për financat e vetëqeverisjes vendore” si dhe nga udhëzimet përkatëse të Ministrisë së Financave</w:t>
      </w:r>
      <w:r w:rsidR="00487468" w:rsidRPr="00BC38D8">
        <w:rPr>
          <w:rFonts w:cs="Times New Roman"/>
          <w:lang w:val="nl-BE"/>
        </w:rPr>
        <w:t>.</w:t>
      </w:r>
    </w:p>
    <w:p w:rsidR="002A5238" w:rsidRDefault="002A5238" w:rsidP="00537DAF">
      <w:pPr>
        <w:rPr>
          <w:rFonts w:cs="Times New Roman"/>
          <w:lang w:val="nl-BE"/>
        </w:rPr>
      </w:pPr>
    </w:p>
    <w:p w:rsidR="002A5238" w:rsidRPr="00434583" w:rsidRDefault="002A5238" w:rsidP="000708F2">
      <w:pPr>
        <w:pStyle w:val="Style2"/>
      </w:pPr>
      <w:r w:rsidRPr="00434583">
        <w:t>Të dhënat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462"/>
        <w:gridCol w:w="1148"/>
        <w:gridCol w:w="1148"/>
        <w:gridCol w:w="1148"/>
        <w:gridCol w:w="1148"/>
        <w:gridCol w:w="1148"/>
        <w:gridCol w:w="1148"/>
      </w:tblGrid>
      <w:tr w:rsidR="00326C4C" w:rsidTr="00326C4C">
        <w:trPr>
          <w:trHeight w:val="449"/>
          <w:jc w:val="center"/>
        </w:trPr>
        <w:tc>
          <w:tcPr>
            <w:tcW w:w="0" w:type="auto"/>
            <w:shd w:val="clear" w:color="auto" w:fill="D9E1F2"/>
            <w:vAlign w:val="center"/>
          </w:tcPr>
          <w:p w:rsidR="002A5238" w:rsidRDefault="00F7615D" w:rsidP="002A5238">
            <w:pPr>
              <w:spacing w:after="0" w:line="200" w:lineRule="auto"/>
              <w:jc w:val="left"/>
            </w:pPr>
            <w:bookmarkStart w:id="55" w:name="buxheti_tedhena"/>
            <w:bookmarkEnd w:id="55"/>
            <w:r>
              <w:rPr>
                <w:b/>
              </w:rPr>
              <w:t>Emri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Buxheti Total Fakt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261833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358860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178543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300000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305000</w:t>
            </w:r>
          </w:p>
        </w:tc>
      </w:tr>
    </w:tbl>
    <w:p w:rsidR="002A5238" w:rsidRDefault="002A5238" w:rsidP="002A5238">
      <w:pPr>
        <w:rPr>
          <w:lang w:val="nl-BE"/>
        </w:rPr>
      </w:pPr>
    </w:p>
    <w:p w:rsidR="00FE15F0" w:rsidRDefault="00FE15F0" w:rsidP="002A5238">
      <w:pPr>
        <w:rPr>
          <w:lang w:val="nl-BE"/>
        </w:rPr>
      </w:pPr>
      <w:bookmarkStart w:id="56" w:name="buxhetiData_grafik"/>
      <w:bookmarkEnd w:id="56"/>
    </w:p>
    <w:p w:rsidR="005745F5" w:rsidRDefault="00ED2D5A"/>
    <w:p w:rsidR="001F32AA" w:rsidRDefault="00F7615D" w:rsidP="001F32AA">
      <w:pPr>
        <w:pStyle w:val="dataNameStyle"/>
      </w:pPr>
      <w:r>
        <w:t>Buxheti Total Fakt</w:t>
      </w:r>
    </w:p>
    <w:p w:rsidR="001F32AA" w:rsidRDefault="00ED2D5A" w:rsidP="006A3D44"/>
    <w:p w:rsidR="0005294B" w:rsidRDefault="00F7615D">
      <w:pPr>
        <w:pStyle w:val="NormalWeb"/>
        <w:divId w:val="424152302"/>
      </w:pPr>
      <w:r>
        <w:t xml:space="preserve">Të dhënat për buxhetin total fakt të bashkisë Memaliaj përfshijnë periudhën nga viti </w:t>
      </w:r>
      <w:r>
        <w:rPr>
          <w:rStyle w:val="Strong"/>
          <w:rFonts w:eastAsiaTheme="majorEastAsia"/>
        </w:rPr>
        <w:t>2021</w:t>
      </w:r>
      <w:r>
        <w:t xml:space="preserve"> deri në </w:t>
      </w:r>
      <w:r>
        <w:rPr>
          <w:rStyle w:val="Strong"/>
          <w:rFonts w:eastAsiaTheme="majorEastAsia"/>
        </w:rPr>
        <w:t>2026</w:t>
      </w:r>
      <w:r>
        <w:t xml:space="preserve">. Në vitin </w:t>
      </w:r>
      <w:r>
        <w:rPr>
          <w:rStyle w:val="Strong"/>
          <w:rFonts w:eastAsiaTheme="majorEastAsia"/>
        </w:rPr>
        <w:t>2021</w:t>
      </w:r>
      <w:r>
        <w:t xml:space="preserve">, buxheti ishte </w:t>
      </w:r>
      <w:r>
        <w:rPr>
          <w:rStyle w:val="Strong"/>
          <w:rFonts w:eastAsiaTheme="majorEastAsia"/>
        </w:rPr>
        <w:t>261,833</w:t>
      </w:r>
      <w:r>
        <w:t xml:space="preserve">. Për vitin </w:t>
      </w:r>
      <w:r>
        <w:rPr>
          <w:rStyle w:val="Strong"/>
          <w:rFonts w:eastAsiaTheme="majorEastAsia"/>
        </w:rPr>
        <w:t>2022</w:t>
      </w:r>
      <w:r>
        <w:t xml:space="preserve">, shënohet një rritje, me vlerën që arrin në </w:t>
      </w:r>
      <w:r>
        <w:rPr>
          <w:rStyle w:val="Strong"/>
          <w:rFonts w:eastAsiaTheme="majorEastAsia"/>
        </w:rPr>
        <w:t>358,860</w:t>
      </w:r>
      <w:r>
        <w:t xml:space="preserve">. Në vitin </w:t>
      </w:r>
      <w:r>
        <w:rPr>
          <w:rStyle w:val="Strong"/>
          <w:rFonts w:eastAsiaTheme="majorEastAsia"/>
        </w:rPr>
        <w:t>2023</w:t>
      </w:r>
      <w:r>
        <w:t xml:space="preserve">, buxheti total bie ndjeshëm në </w:t>
      </w:r>
      <w:r>
        <w:rPr>
          <w:rStyle w:val="Strong"/>
          <w:rFonts w:eastAsiaTheme="majorEastAsia"/>
        </w:rPr>
        <w:t>178,543</w:t>
      </w:r>
      <w:r>
        <w:t xml:space="preserve">, që përfaqëson një reduktim të dukshëm nga viti i kaluar. Për vitin </w:t>
      </w:r>
      <w:r>
        <w:rPr>
          <w:rStyle w:val="Strong"/>
          <w:rFonts w:eastAsiaTheme="majorEastAsia"/>
        </w:rPr>
        <w:t>2024</w:t>
      </w:r>
      <w:r>
        <w:t xml:space="preserve">, është parashikuar një rritje e ndjeshme në buxhet deri në </w:t>
      </w:r>
      <w:r>
        <w:rPr>
          <w:rStyle w:val="Strong"/>
          <w:rFonts w:eastAsiaTheme="majorEastAsia"/>
        </w:rPr>
        <w:t>500,000</w:t>
      </w:r>
      <w:r>
        <w:t xml:space="preserve">, që është vlera më e lartë e regjistruar në këtë periudhë. Megjithatë, për vitin </w:t>
      </w:r>
      <w:r>
        <w:rPr>
          <w:rStyle w:val="Strong"/>
          <w:rFonts w:eastAsiaTheme="majorEastAsia"/>
        </w:rPr>
        <w:t>2025</w:t>
      </w:r>
      <w:r>
        <w:t xml:space="preserve">, buxheti parashikohet të bjerë në </w:t>
      </w:r>
      <w:r>
        <w:rPr>
          <w:rStyle w:val="Strong"/>
          <w:rFonts w:eastAsiaTheme="majorEastAsia"/>
        </w:rPr>
        <w:t>300,000</w:t>
      </w:r>
      <w:r>
        <w:t xml:space="preserve">. Kjo tendencë e uljes vazhdon paksa për vitin </w:t>
      </w:r>
      <w:r>
        <w:rPr>
          <w:rStyle w:val="Strong"/>
          <w:rFonts w:eastAsiaTheme="majorEastAsia"/>
        </w:rPr>
        <w:t>2026</w:t>
      </w:r>
      <w:r>
        <w:t xml:space="preserve">, ku buxheti planifikohet të jetë </w:t>
      </w:r>
      <w:r>
        <w:rPr>
          <w:rStyle w:val="Strong"/>
          <w:rFonts w:eastAsiaTheme="majorEastAsia"/>
        </w:rPr>
        <w:t>305,000</w:t>
      </w:r>
      <w:r>
        <w:t xml:space="preserve">. Viti </w:t>
      </w:r>
      <w:r>
        <w:rPr>
          <w:rStyle w:val="Strong"/>
          <w:rFonts w:eastAsiaTheme="majorEastAsia"/>
        </w:rPr>
        <w:t>2023</w:t>
      </w:r>
      <w:r>
        <w:t xml:space="preserve"> paraqet disnivelin më të madh në raport me të dhënat e tjera, me një diferencë të madhe krahasuar me vitin paraardhës dhe pasues. Përgjatë këtyre viteve, buxheti total tregon një variacion të madh, me ulje dhe rritje të vazhdueshme. Kjo luhatje mund të pasqyrojë ndryshime në politikat financiare dhe planifikimin strategjik të bashkisë. Të dhënat tregojnë nevojën për një analizë më të hollësishme për të kuptuar arsyet e variacioneve ekstreme.</w:t>
      </w:r>
    </w:p>
    <w:p w:rsidR="00273E47" w:rsidRDefault="00ED2D5A" w:rsidP="001F32AA"/>
    <w:p w:rsidR="00ED5A1B" w:rsidRDefault="00F7615D" w:rsidP="001F32AA">
      <w:r>
        <w:rPr>
          <w:noProof/>
        </w:rPr>
        <w:lastRenderedPageBreak/>
        <w:drawing>
          <wp:inline distT="0" distB="0" distL="0" distR="0">
            <wp:extent cx="5486400" cy="3200400"/>
            <wp:effectExtent l="0" t="0" r="0" b="0"/>
            <wp:docPr id="1902859298" name="Chart 1902859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D52FA" w:rsidRDefault="00ED2D5A" w:rsidP="0030311D"/>
    <w:p w:rsidR="002A5238" w:rsidRPr="002A5238" w:rsidRDefault="002A5238" w:rsidP="000708F2">
      <w:pPr>
        <w:pStyle w:val="Style2"/>
      </w:pPr>
      <w:r w:rsidRPr="002A5238">
        <w:t>Treguesit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3632"/>
        <w:gridCol w:w="953"/>
        <w:gridCol w:w="953"/>
        <w:gridCol w:w="953"/>
        <w:gridCol w:w="953"/>
        <w:gridCol w:w="953"/>
        <w:gridCol w:w="953"/>
      </w:tblGrid>
      <w:tr w:rsidR="00326C4C" w:rsidTr="00326C4C">
        <w:trPr>
          <w:trHeight w:val="449"/>
          <w:jc w:val="center"/>
        </w:trPr>
        <w:tc>
          <w:tcPr>
            <w:tcW w:w="0" w:type="auto"/>
            <w:shd w:val="clear" w:color="auto" w:fill="D9E1F2"/>
            <w:vAlign w:val="center"/>
          </w:tcPr>
          <w:p w:rsidR="002A5238" w:rsidRDefault="00F7615D" w:rsidP="002A5238">
            <w:pPr>
              <w:spacing w:after="0" w:line="200" w:lineRule="auto"/>
              <w:jc w:val="left"/>
            </w:pPr>
            <w:bookmarkStart w:id="57" w:name="buxheti_tregues"/>
            <w:bookmarkEnd w:id="57"/>
            <w:r>
              <w:rPr>
                <w:b/>
              </w:rPr>
              <w:t>Indikatori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Buxheti për frymë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13.01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17.85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13.56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24.81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14.89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15.14</w:t>
            </w:r>
          </w:p>
        </w:tc>
      </w:tr>
    </w:tbl>
    <w:p w:rsidR="002A5238" w:rsidRDefault="002A5238" w:rsidP="002A5238">
      <w:pPr>
        <w:rPr>
          <w:lang w:val="nl-BE"/>
        </w:rPr>
      </w:pPr>
    </w:p>
    <w:p w:rsidR="005745F5" w:rsidRPr="00FC041B" w:rsidRDefault="003D32BF" w:rsidP="00FC041B">
      <w:pPr>
        <w:jc w:val="left"/>
        <w:rPr>
          <w:lang w:val="nl-BE"/>
        </w:rPr>
      </w:pPr>
      <w:bookmarkStart w:id="58" w:name="treguesitBuxheti_grafik"/>
      <w:bookmarkEnd w:id="58"/>
      <w:r>
        <w:rPr>
          <w:lang w:val="nl-BE"/>
        </w:rPr>
        <w:br w:type="page"/>
      </w:r>
    </w:p>
    <w:p w:rsidR="00681F58" w:rsidRDefault="00F7615D" w:rsidP="00681F58">
      <w:pPr>
        <w:pStyle w:val="indicatorNameStyle"/>
        <w:numPr>
          <w:ilvl w:val="0"/>
          <w:numId w:val="3"/>
        </w:numPr>
      </w:pPr>
      <w:r>
        <w:lastRenderedPageBreak/>
        <w:t>Buxheti për frymë (në lekë)</w:t>
      </w:r>
    </w:p>
    <w:p w:rsidR="00681F58" w:rsidRDefault="00ED2D5A" w:rsidP="00DC2312"/>
    <w:p w:rsidR="0005294B" w:rsidRDefault="00F7615D">
      <w:pPr>
        <w:pStyle w:val="NormalWeb"/>
        <w:divId w:val="935792037"/>
      </w:pPr>
      <w:r>
        <w:t xml:space="preserve">Të dhënat e bashkisë Memaliaj paraqesin vlera që ndryshojnë nga viti në vit ndërmjet </w:t>
      </w:r>
      <w:r>
        <w:rPr>
          <w:rStyle w:val="Strong"/>
          <w:rFonts w:eastAsiaTheme="majorEastAsia"/>
        </w:rPr>
        <w:t>2021</w:t>
      </w:r>
      <w:r>
        <w:t xml:space="preserve"> dhe </w:t>
      </w:r>
      <w:r>
        <w:rPr>
          <w:rStyle w:val="Strong"/>
          <w:rFonts w:eastAsiaTheme="majorEastAsia"/>
        </w:rPr>
        <w:t>2026</w:t>
      </w:r>
      <w:r>
        <w:t xml:space="preserve">. Në vitin </w:t>
      </w:r>
      <w:r>
        <w:rPr>
          <w:rStyle w:val="Strong"/>
          <w:rFonts w:eastAsiaTheme="majorEastAsia"/>
        </w:rPr>
        <w:t>2021</w:t>
      </w:r>
      <w:r>
        <w:t xml:space="preserve">, vlera ishte </w:t>
      </w:r>
      <w:r>
        <w:rPr>
          <w:rStyle w:val="Strong"/>
          <w:rFonts w:eastAsiaTheme="majorEastAsia"/>
        </w:rPr>
        <w:t>13.01</w:t>
      </w:r>
      <w:r>
        <w:t xml:space="preserve">, e cila më pas u rrit ndjeshëm në </w:t>
      </w:r>
      <w:r>
        <w:rPr>
          <w:rStyle w:val="Strong"/>
          <w:rFonts w:eastAsiaTheme="majorEastAsia"/>
        </w:rPr>
        <w:t>2022</w:t>
      </w:r>
      <w:r>
        <w:t xml:space="preserve"> duke arritur </w:t>
      </w:r>
      <w:r>
        <w:rPr>
          <w:rStyle w:val="Strong"/>
          <w:rFonts w:eastAsiaTheme="majorEastAsia"/>
        </w:rPr>
        <w:t>17.85</w:t>
      </w:r>
      <w:r>
        <w:t xml:space="preserve">. Një rënie e lehtë pasoi në </w:t>
      </w:r>
      <w:r>
        <w:rPr>
          <w:rStyle w:val="Strong"/>
          <w:rFonts w:eastAsiaTheme="majorEastAsia"/>
        </w:rPr>
        <w:t>2023</w:t>
      </w:r>
      <w:r>
        <w:t xml:space="preserve">, ku vlera u zvogëlua në </w:t>
      </w:r>
      <w:r>
        <w:rPr>
          <w:rStyle w:val="Strong"/>
          <w:rFonts w:eastAsiaTheme="majorEastAsia"/>
        </w:rPr>
        <w:t>13.56</w:t>
      </w:r>
      <w:r>
        <w:t xml:space="preserve">. Vitin pasues, </w:t>
      </w:r>
      <w:r>
        <w:rPr>
          <w:rStyle w:val="Strong"/>
          <w:rFonts w:eastAsiaTheme="majorEastAsia"/>
        </w:rPr>
        <w:t>2024</w:t>
      </w:r>
      <w:r>
        <w:t xml:space="preserve">, pati një rritje të theksuar që arriti kulmin me </w:t>
      </w:r>
      <w:r>
        <w:rPr>
          <w:rStyle w:val="Strong"/>
          <w:rFonts w:eastAsiaTheme="majorEastAsia"/>
        </w:rPr>
        <w:t>24.81</w:t>
      </w:r>
      <w:r>
        <w:t xml:space="preserve">, vlera më e lartë e periudhës. Në </w:t>
      </w:r>
      <w:r>
        <w:rPr>
          <w:rStyle w:val="Strong"/>
          <w:rFonts w:eastAsiaTheme="majorEastAsia"/>
        </w:rPr>
        <w:t>2025</w:t>
      </w:r>
      <w:r>
        <w:t xml:space="preserve">, vlera u ul përsëri në </w:t>
      </w:r>
      <w:r>
        <w:rPr>
          <w:rStyle w:val="Strong"/>
          <w:rFonts w:eastAsiaTheme="majorEastAsia"/>
        </w:rPr>
        <w:t>14.89</w:t>
      </w:r>
      <w:r>
        <w:t xml:space="preserve">, ndërsa në </w:t>
      </w:r>
      <w:r>
        <w:rPr>
          <w:rStyle w:val="Strong"/>
          <w:rFonts w:eastAsiaTheme="majorEastAsia"/>
        </w:rPr>
        <w:t>2026</w:t>
      </w:r>
      <w:r>
        <w:t xml:space="preserve"> u rrit lehtë në </w:t>
      </w:r>
      <w:r>
        <w:rPr>
          <w:rStyle w:val="Strong"/>
          <w:rFonts w:eastAsiaTheme="majorEastAsia"/>
        </w:rPr>
        <w:t>15.14</w:t>
      </w:r>
      <w:r>
        <w:t xml:space="preserve">. Këto të dhëna tregojnë një trend variabil, me luhatje të dukshme nga viti në vit. Rritja e ndjeshme e vitit </w:t>
      </w:r>
      <w:r>
        <w:rPr>
          <w:rStyle w:val="Strong"/>
          <w:rFonts w:eastAsiaTheme="majorEastAsia"/>
        </w:rPr>
        <w:t>2024</w:t>
      </w:r>
      <w:r>
        <w:t xml:space="preserve"> mund të ketë qenë rezultat i faktorëve të veçantë ose investimeve të mëdha. Pavarësisht kësaj pike kulmore, vlerat e tjera mbeten relativisht të qëndrueshme rreth mesatares. Ky variacion reflekton ndoshta ndryshimet në aktivitetet ekonomike, politike ose sociale që prekin rajonin.</w:t>
      </w:r>
    </w:p>
    <w:p w:rsidR="00D60D23" w:rsidRDefault="00ED2D5A" w:rsidP="00681F58"/>
    <w:p w:rsidR="00822F95" w:rsidRDefault="00F7615D">
      <w:r>
        <w:rPr>
          <w:noProof/>
        </w:rPr>
        <w:drawing>
          <wp:inline distT="0" distB="0" distL="0" distR="0">
            <wp:extent cx="5486400" cy="3200400"/>
            <wp:effectExtent l="0" t="0" r="0" b="0"/>
            <wp:docPr id="1902859299" name="Chart 1902859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D52FA" w:rsidRDefault="00ED2D5A" w:rsidP="0030311D"/>
    <w:p w:rsidR="005D52FA" w:rsidRDefault="00ED2D5A" w:rsidP="0030311D"/>
    <w:p w:rsidR="005D52FA" w:rsidRDefault="00ED2D5A" w:rsidP="0030311D"/>
    <w:p w:rsidR="008E6EFE" w:rsidRDefault="008E6EFE" w:rsidP="008E6EFE">
      <w:pPr>
        <w:pStyle w:val="Style1"/>
      </w:pPr>
      <w:bookmarkStart w:id="59" w:name="_Toc213857425"/>
      <w:r>
        <w:lastRenderedPageBreak/>
        <w:t>Shpenzime</w:t>
      </w:r>
      <w:bookmarkEnd w:id="59"/>
    </w:p>
    <w:p w:rsidR="00BC38D8" w:rsidRDefault="00BC38D8" w:rsidP="00BC38D8">
      <w:pPr>
        <w:rPr>
          <w:rFonts w:cs="Times New Roman"/>
          <w:lang w:val="nl-BE"/>
        </w:rPr>
      </w:pPr>
      <w:r w:rsidRPr="007C63B6">
        <w:rPr>
          <w:rFonts w:cs="Times New Roman"/>
          <w:lang w:val="nl-BE"/>
        </w:rPr>
        <w:t xml:space="preserve">Kjo fushë analizon strukturën dhe efikasitetin e shpenzimeve publike të bashkive për të përmbushur funksionet e tyre ligjore. Ajo vlerëson nëse fondet shpenzohen në mënyrë të efektshme dhe transparente. Bashkitë janë përgjegjëse për planifikimin dhe realizimin e shpenzimeve publike vendore, në përputhje me </w:t>
      </w:r>
      <w:r w:rsidRPr="007C63B6">
        <w:rPr>
          <w:rFonts w:cs="Times New Roman"/>
          <w:b/>
          <w:bCs/>
          <w:lang w:val="nl-BE"/>
        </w:rPr>
        <w:t>nenin 12 dhe 13 të Ligjit nr. 68/2017</w:t>
      </w:r>
      <w:r w:rsidRPr="007C63B6">
        <w:rPr>
          <w:rFonts w:cs="Times New Roman"/>
          <w:lang w:val="nl-BE"/>
        </w:rPr>
        <w:t xml:space="preserve"> dhe aktet nënligjore përkatëse.</w:t>
      </w:r>
    </w:p>
    <w:p w:rsidR="002A5238" w:rsidRPr="00434583" w:rsidRDefault="002A5238" w:rsidP="000708F2">
      <w:pPr>
        <w:pStyle w:val="Style2"/>
      </w:pPr>
      <w:r w:rsidRPr="00434583">
        <w:t>Të dhënat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782"/>
        <w:gridCol w:w="928"/>
        <w:gridCol w:w="936"/>
        <w:gridCol w:w="1176"/>
        <w:gridCol w:w="1176"/>
        <w:gridCol w:w="1176"/>
        <w:gridCol w:w="1176"/>
      </w:tblGrid>
      <w:tr w:rsidR="00326C4C" w:rsidTr="00326C4C">
        <w:trPr>
          <w:trHeight w:val="449"/>
          <w:jc w:val="center"/>
        </w:trPr>
        <w:tc>
          <w:tcPr>
            <w:tcW w:w="0" w:type="auto"/>
            <w:shd w:val="clear" w:color="auto" w:fill="D9E1F2"/>
            <w:vAlign w:val="center"/>
          </w:tcPr>
          <w:p w:rsidR="002A5238" w:rsidRDefault="00F7615D" w:rsidP="002A5238">
            <w:pPr>
              <w:spacing w:after="0" w:line="200" w:lineRule="auto"/>
              <w:jc w:val="left"/>
            </w:pPr>
            <w:bookmarkStart w:id="60" w:name="shpenzime_tedhena"/>
            <w:bookmarkEnd w:id="60"/>
            <w:r>
              <w:rPr>
                <w:b/>
              </w:rPr>
              <w:t>Emri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Investime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44396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6074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151385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249924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247076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45407</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Kosto personeli ne buxhet(vlera e pagave dhe sigurimeve, honorare)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119341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121206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127780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146750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148885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151130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Shpenzime operacionale</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40747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39825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87848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67745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68587</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70240</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Detyrime ndaj te treteve te papaguara</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C30BA9">
            <w:pPr>
              <w:spacing w:after="0" w:line="240" w:lineRule="auto"/>
            </w:pP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15628190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15628190</w:t>
            </w:r>
          </w:p>
        </w:tc>
      </w:tr>
    </w:tbl>
    <w:p w:rsidR="002A5238" w:rsidRDefault="002A5238" w:rsidP="002A5238">
      <w:pPr>
        <w:rPr>
          <w:lang w:val="nl-BE"/>
        </w:rPr>
      </w:pPr>
    </w:p>
    <w:p w:rsidR="00FE15F0" w:rsidRDefault="00FE15F0" w:rsidP="002A5238">
      <w:pPr>
        <w:rPr>
          <w:lang w:val="nl-BE"/>
        </w:rPr>
      </w:pPr>
      <w:bookmarkStart w:id="61" w:name="shpenzimeData_grafik"/>
      <w:bookmarkEnd w:id="61"/>
    </w:p>
    <w:p w:rsidR="00C30BA9" w:rsidRDefault="00C30BA9"/>
    <w:p w:rsidR="00C30BA9" w:rsidRDefault="00C30BA9"/>
    <w:p w:rsidR="00C30BA9" w:rsidRDefault="00C30BA9"/>
    <w:p w:rsidR="00C30BA9" w:rsidRDefault="00C30BA9"/>
    <w:p w:rsidR="002A5238" w:rsidRPr="002A5238" w:rsidRDefault="002A5238" w:rsidP="000708F2">
      <w:pPr>
        <w:pStyle w:val="Style2"/>
      </w:pPr>
      <w:r w:rsidRPr="002A5238">
        <w:t>Treguesit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4394"/>
        <w:gridCol w:w="696"/>
        <w:gridCol w:w="696"/>
        <w:gridCol w:w="996"/>
        <w:gridCol w:w="996"/>
        <w:gridCol w:w="876"/>
        <w:gridCol w:w="696"/>
      </w:tblGrid>
      <w:tr w:rsidR="00326C4C" w:rsidTr="00326C4C">
        <w:trPr>
          <w:trHeight w:val="449"/>
          <w:jc w:val="center"/>
        </w:trPr>
        <w:tc>
          <w:tcPr>
            <w:tcW w:w="0" w:type="auto"/>
            <w:shd w:val="clear" w:color="auto" w:fill="D9E1F2"/>
            <w:vAlign w:val="center"/>
          </w:tcPr>
          <w:p w:rsidR="002A5238" w:rsidRDefault="00F7615D" w:rsidP="002A5238">
            <w:pPr>
              <w:spacing w:after="0" w:line="200" w:lineRule="auto"/>
              <w:jc w:val="left"/>
            </w:pPr>
            <w:bookmarkStart w:id="62" w:name="shpenzime_tregues"/>
            <w:bookmarkEnd w:id="62"/>
            <w:r>
              <w:rPr>
                <w:b/>
              </w:rPr>
              <w:t>Indikatori</w:t>
            </w:r>
          </w:p>
        </w:tc>
        <w:tc>
          <w:tcPr>
            <w:tcW w:w="0" w:type="auto"/>
            <w:shd w:val="clear" w:color="auto" w:fill="D9E1F2"/>
            <w:vAlign w:val="center"/>
          </w:tcPr>
          <w:p w:rsidR="00C30BA9" w:rsidRDefault="00F7615D">
            <w:pPr>
              <w:spacing w:after="0" w:line="200" w:lineRule="auto"/>
              <w:jc w:val="left"/>
            </w:pPr>
            <w:r>
              <w:rPr>
                <w:b/>
              </w:rPr>
              <w:t>2021</w:t>
            </w:r>
          </w:p>
        </w:tc>
        <w:tc>
          <w:tcPr>
            <w:tcW w:w="0" w:type="auto"/>
            <w:shd w:val="clear" w:color="auto" w:fill="D9E1F2"/>
            <w:vAlign w:val="center"/>
          </w:tcPr>
          <w:p w:rsidR="00C30BA9" w:rsidRDefault="00F7615D">
            <w:pPr>
              <w:spacing w:after="0" w:line="200" w:lineRule="auto"/>
              <w:jc w:val="left"/>
            </w:pPr>
            <w:r>
              <w:rPr>
                <w:b/>
              </w:rPr>
              <w:t>2022</w:t>
            </w:r>
          </w:p>
        </w:tc>
        <w:tc>
          <w:tcPr>
            <w:tcW w:w="0" w:type="auto"/>
            <w:shd w:val="clear" w:color="auto" w:fill="D9E1F2"/>
            <w:vAlign w:val="center"/>
          </w:tcPr>
          <w:p w:rsidR="00C30BA9" w:rsidRDefault="00F7615D">
            <w:pPr>
              <w:spacing w:after="0" w:line="200" w:lineRule="auto"/>
              <w:jc w:val="left"/>
            </w:pPr>
            <w:r>
              <w:rPr>
                <w:b/>
              </w:rPr>
              <w:t>2023</w:t>
            </w:r>
          </w:p>
        </w:tc>
        <w:tc>
          <w:tcPr>
            <w:tcW w:w="0" w:type="auto"/>
            <w:shd w:val="clear" w:color="auto" w:fill="D9E1F2"/>
            <w:vAlign w:val="center"/>
          </w:tcPr>
          <w:p w:rsidR="00C30BA9" w:rsidRDefault="00F7615D">
            <w:pPr>
              <w:spacing w:after="0" w:line="200" w:lineRule="auto"/>
              <w:jc w:val="left"/>
            </w:pPr>
            <w:r>
              <w:rPr>
                <w:b/>
              </w:rPr>
              <w:t>2024</w:t>
            </w:r>
          </w:p>
        </w:tc>
        <w:tc>
          <w:tcPr>
            <w:tcW w:w="0" w:type="auto"/>
            <w:shd w:val="clear" w:color="auto" w:fill="D9E1F2"/>
            <w:vAlign w:val="center"/>
          </w:tcPr>
          <w:p w:rsidR="00C30BA9" w:rsidRDefault="00F7615D">
            <w:pPr>
              <w:spacing w:after="0" w:line="200" w:lineRule="auto"/>
              <w:jc w:val="left"/>
            </w:pPr>
            <w:r>
              <w:rPr>
                <w:b/>
              </w:rPr>
              <w:t>2025</w:t>
            </w:r>
          </w:p>
        </w:tc>
        <w:tc>
          <w:tcPr>
            <w:tcW w:w="0" w:type="auto"/>
            <w:shd w:val="clear" w:color="auto" w:fill="D9E1F2"/>
            <w:vAlign w:val="center"/>
          </w:tcPr>
          <w:p w:rsidR="00C30BA9" w:rsidRDefault="00F7615D">
            <w:pPr>
              <w:spacing w:after="0" w:line="200" w:lineRule="auto"/>
              <w:jc w:val="left"/>
            </w:pPr>
            <w:r>
              <w:rPr>
                <w:b/>
              </w:rPr>
              <w:t>2026</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Investime për frymë (në lekë)</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11.5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12.4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12.26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2.25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Pesha e personelit në buxhet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0.46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0.34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0.72</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0.5</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0.5</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Pesha e shpenzimeve operacionale në buxhet</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0.16</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0.11</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0.49</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0.14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0.23</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0.23</w:t>
            </w:r>
          </w:p>
        </w:tc>
      </w:tr>
      <w:tr w:rsidR="00326C4C" w:rsidTr="00326C4C">
        <w:trPr>
          <w:jc w:val="center"/>
        </w:trPr>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Pesha e detyrimeve financiare të papaguara ndaj të tretëve (%)</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0</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8753.18</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3125.64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5209.4</w:t>
            </w:r>
          </w:p>
        </w:tc>
        <w:tc>
          <w:tcPr>
            <w:tcW w:w="0" w:type="auto"/>
            <w:tcBorders>
              <w:top w:val="single" w:sz="4" w:space="0" w:color="156082" w:themeColor="accent1"/>
              <w:left w:val="single" w:sz="4" w:space="0" w:color="156082" w:themeColor="accent1"/>
              <w:bottom w:val="single" w:sz="4" w:space="0" w:color="156082" w:themeColor="accent1"/>
              <w:right w:val="single" w:sz="4" w:space="0" w:color="156082" w:themeColor="accent1"/>
            </w:tcBorders>
            <w:shd w:val="clear" w:color="auto" w:fill="FFFFFF" w:themeFill="background1"/>
            <w:vAlign w:val="center"/>
          </w:tcPr>
          <w:p w:rsidR="00C30BA9" w:rsidRDefault="00F7615D">
            <w:pPr>
              <w:spacing w:after="0" w:line="240" w:lineRule="auto"/>
            </w:pPr>
            <w:r>
              <w:t>5124</w:t>
            </w:r>
          </w:p>
        </w:tc>
      </w:tr>
    </w:tbl>
    <w:p w:rsidR="002A5238" w:rsidRDefault="002A5238" w:rsidP="002A5238">
      <w:pPr>
        <w:rPr>
          <w:lang w:val="nl-BE"/>
        </w:rPr>
      </w:pPr>
    </w:p>
    <w:p w:rsidR="002A5238" w:rsidRPr="002A5238" w:rsidRDefault="002A5238" w:rsidP="00BC38D8">
      <w:pPr>
        <w:rPr>
          <w:lang w:val="nl-BE"/>
        </w:rPr>
      </w:pPr>
      <w:bookmarkStart w:id="63" w:name="TreguesShpenzime_grafik"/>
      <w:bookmarkEnd w:id="63"/>
    </w:p>
    <w:p w:rsidR="005745F5" w:rsidRDefault="00ED2D5A"/>
    <w:p w:rsidR="00681F58" w:rsidRDefault="00F7615D" w:rsidP="00681F58">
      <w:pPr>
        <w:pStyle w:val="indicatorNameStyle"/>
        <w:numPr>
          <w:ilvl w:val="0"/>
          <w:numId w:val="3"/>
        </w:numPr>
      </w:pPr>
      <w:r>
        <w:lastRenderedPageBreak/>
        <w:t>Pesha e personelit në buxhet</w:t>
      </w:r>
    </w:p>
    <w:p w:rsidR="00681F58" w:rsidRDefault="00ED2D5A" w:rsidP="00DC2312"/>
    <w:p w:rsidR="0005294B" w:rsidRDefault="00F7615D">
      <w:pPr>
        <w:pStyle w:val="NormalWeb"/>
        <w:divId w:val="89089449"/>
      </w:pPr>
      <w:r>
        <w:t xml:space="preserve">Të dhënat e bashkisë Memaliaj për periudhën 2021-2026 tregojnë luhatje të perceptueshme gjatë viteve. Në </w:t>
      </w:r>
      <w:r>
        <w:rPr>
          <w:rStyle w:val="Strong"/>
          <w:rFonts w:eastAsiaTheme="majorEastAsia"/>
        </w:rPr>
        <w:t>2021</w:t>
      </w:r>
      <w:r>
        <w:t xml:space="preserve">, vlera ishte </w:t>
      </w:r>
      <w:r>
        <w:rPr>
          <w:rStyle w:val="Strong"/>
          <w:rFonts w:eastAsiaTheme="majorEastAsia"/>
        </w:rPr>
        <w:t>0.46</w:t>
      </w:r>
      <w:r>
        <w:t xml:space="preserve">, duke shënuar një fillim relativisht të mirë. Viti i ardhshëm, </w:t>
      </w:r>
      <w:r>
        <w:rPr>
          <w:rStyle w:val="Strong"/>
          <w:rFonts w:eastAsiaTheme="majorEastAsia"/>
        </w:rPr>
        <w:t>2022</w:t>
      </w:r>
      <w:r>
        <w:t xml:space="preserve">, shënoi një rënie të vlerës në </w:t>
      </w:r>
      <w:r>
        <w:rPr>
          <w:rStyle w:val="Strong"/>
          <w:rFonts w:eastAsiaTheme="majorEastAsia"/>
        </w:rPr>
        <w:t>0.34</w:t>
      </w:r>
      <w:r>
        <w:t xml:space="preserve">, që tregon një sfidë apo ndryshim negativ në atë periudhë. Kulmi u arrit në </w:t>
      </w:r>
      <w:r>
        <w:rPr>
          <w:rStyle w:val="Strong"/>
          <w:rFonts w:eastAsiaTheme="majorEastAsia"/>
        </w:rPr>
        <w:t>2023</w:t>
      </w:r>
      <w:r>
        <w:t xml:space="preserve"> me një rritje të ndjeshme ku vlera u ngjit në </w:t>
      </w:r>
      <w:r>
        <w:rPr>
          <w:rStyle w:val="Strong"/>
          <w:rFonts w:eastAsiaTheme="majorEastAsia"/>
        </w:rPr>
        <w:t>0.72</w:t>
      </w:r>
      <w:r>
        <w:t xml:space="preserve">, e cila është më e larta e periudhës së vërejtur. Më pas, në </w:t>
      </w:r>
      <w:r>
        <w:rPr>
          <w:rStyle w:val="Strong"/>
          <w:rFonts w:eastAsiaTheme="majorEastAsia"/>
        </w:rPr>
        <w:t>2024</w:t>
      </w:r>
      <w:r>
        <w:t xml:space="preserve">, vlera ra ndjeshëm në </w:t>
      </w:r>
      <w:r>
        <w:rPr>
          <w:rStyle w:val="Strong"/>
          <w:rFonts w:eastAsiaTheme="majorEastAsia"/>
        </w:rPr>
        <w:t>0.29</w:t>
      </w:r>
      <w:r>
        <w:t xml:space="preserve">, duke simbolizuar një ulje të madhe krahasuar me vitin e mëparshëm. Për vitet </w:t>
      </w:r>
      <w:r>
        <w:rPr>
          <w:rStyle w:val="Strong"/>
          <w:rFonts w:eastAsiaTheme="majorEastAsia"/>
        </w:rPr>
        <w:t>2025</w:t>
      </w:r>
      <w:r>
        <w:t xml:space="preserve"> dhe </w:t>
      </w:r>
      <w:r>
        <w:rPr>
          <w:rStyle w:val="Strong"/>
          <w:rFonts w:eastAsiaTheme="majorEastAsia"/>
        </w:rPr>
        <w:t>2026</w:t>
      </w:r>
      <w:r>
        <w:t xml:space="preserve">, të dhënat tregojnë stabilizim të situatës me një vlerë të barabartë prej </w:t>
      </w:r>
      <w:r>
        <w:rPr>
          <w:rStyle w:val="Strong"/>
          <w:rFonts w:eastAsiaTheme="majorEastAsia"/>
        </w:rPr>
        <w:t>0.5</w:t>
      </w:r>
      <w:r>
        <w:t xml:space="preserve"> për secilin vit. Ky stabilizim mund të sinjalizojë përpjekje të suksesshme për të përmirësuar apo mbajtur një gjendje të caktuar të situatave përkatëse. Luhatjet midis viteve tregojnë se ka pasur faktorë të ndryshëm që kanë ndikuar në zhvillimet e bashkisë. Për të kuptuar plotësisht këto ndryshme, do të nevojitej një analizë më e thellë të faktorëve të brendshëm dhe të jashtëm që kanë ndikuar në këto ndryshime. Në përgjithësi, të dhënat flasin për një periudhë me sfida, por edhe me mundësi të përmirësimit në Memaliaj.</w:t>
      </w:r>
    </w:p>
    <w:p w:rsidR="00D60D23" w:rsidRDefault="00ED2D5A" w:rsidP="00681F58"/>
    <w:p w:rsidR="00822F95" w:rsidRDefault="00F7615D">
      <w:r>
        <w:rPr>
          <w:noProof/>
        </w:rPr>
        <w:drawing>
          <wp:inline distT="0" distB="0" distL="0" distR="0">
            <wp:extent cx="5486400" cy="3200400"/>
            <wp:effectExtent l="0" t="0" r="0" b="0"/>
            <wp:docPr id="1902859300" name="Chart 1902859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D52FA" w:rsidRDefault="00ED2D5A" w:rsidP="0030311D"/>
    <w:p w:rsidR="005D52FA" w:rsidRDefault="00ED2D5A" w:rsidP="0030311D"/>
    <w:p w:rsidR="005D52FA" w:rsidRDefault="00ED2D5A" w:rsidP="0030311D"/>
    <w:p w:rsidR="005745F5" w:rsidRDefault="00ED2D5A"/>
    <w:p w:rsidR="00681F58" w:rsidRDefault="00F7615D" w:rsidP="00681F58">
      <w:pPr>
        <w:pStyle w:val="indicatorNameStyle"/>
        <w:numPr>
          <w:ilvl w:val="0"/>
          <w:numId w:val="3"/>
        </w:numPr>
      </w:pPr>
      <w:r>
        <w:lastRenderedPageBreak/>
        <w:t>Pesha e shpenzimeve operacionale në buxhet</w:t>
      </w:r>
    </w:p>
    <w:p w:rsidR="00681F58" w:rsidRDefault="00ED2D5A" w:rsidP="00DC2312"/>
    <w:p w:rsidR="0005294B" w:rsidRDefault="00F7615D">
      <w:pPr>
        <w:pStyle w:val="NormalWeb"/>
        <w:divId w:val="1720519689"/>
      </w:pPr>
      <w:r>
        <w:t xml:space="preserve">Të dhënat për bashkinë Memaliaj tregojnë një variacion të konsiderueshëm në vlerat për periudhën 2021-2026. Në vitin </w:t>
      </w:r>
      <w:r>
        <w:rPr>
          <w:rStyle w:val="Strong"/>
          <w:rFonts w:eastAsiaTheme="majorEastAsia"/>
        </w:rPr>
        <w:t>2021</w:t>
      </w:r>
      <w:r>
        <w:t xml:space="preserve">, vlera ishte </w:t>
      </w:r>
      <w:r>
        <w:rPr>
          <w:rStyle w:val="Strong"/>
          <w:rFonts w:eastAsiaTheme="majorEastAsia"/>
        </w:rPr>
        <w:t>0.16</w:t>
      </w:r>
      <w:r>
        <w:t xml:space="preserve">, duke shfaqur një fillim modest në këtë periudhë pesëvjeçare. Në </w:t>
      </w:r>
      <w:r>
        <w:rPr>
          <w:rStyle w:val="Strong"/>
          <w:rFonts w:eastAsiaTheme="majorEastAsia"/>
        </w:rPr>
        <w:t>2022</w:t>
      </w:r>
      <w:r>
        <w:t xml:space="preserve">, vlera ra më tej në </w:t>
      </w:r>
      <w:r>
        <w:rPr>
          <w:rStyle w:val="Strong"/>
          <w:rFonts w:eastAsiaTheme="majorEastAsia"/>
        </w:rPr>
        <w:t>0.11</w:t>
      </w:r>
      <w:r>
        <w:t xml:space="preserve">, duke treguar për një ulje nga viti i mëparshëm. Viti </w:t>
      </w:r>
      <w:r>
        <w:rPr>
          <w:rStyle w:val="Strong"/>
          <w:rFonts w:eastAsiaTheme="majorEastAsia"/>
        </w:rPr>
        <w:t>2023</w:t>
      </w:r>
      <w:r>
        <w:t xml:space="preserve"> paraqiti një rritje të madhe në </w:t>
      </w:r>
      <w:r>
        <w:rPr>
          <w:rStyle w:val="Strong"/>
          <w:rFonts w:eastAsiaTheme="majorEastAsia"/>
        </w:rPr>
        <w:t>0.49</w:t>
      </w:r>
      <w:r>
        <w:t xml:space="preserve">, një rritje domethënëse krahasuar me dy vitet e mëparshme. Në </w:t>
      </w:r>
      <w:r>
        <w:rPr>
          <w:rStyle w:val="Strong"/>
          <w:rFonts w:eastAsiaTheme="majorEastAsia"/>
        </w:rPr>
        <w:t>2024</w:t>
      </w:r>
      <w:r>
        <w:t xml:space="preserve">, pati një rënie të dukshme në </w:t>
      </w:r>
      <w:r>
        <w:rPr>
          <w:rStyle w:val="Strong"/>
          <w:rFonts w:eastAsiaTheme="majorEastAsia"/>
        </w:rPr>
        <w:t>0.14</w:t>
      </w:r>
      <w:r>
        <w:t xml:space="preserve">, duke iu kthyer niveleve më të ulëta të mëparshme. Për </w:t>
      </w:r>
      <w:r>
        <w:rPr>
          <w:rStyle w:val="Strong"/>
          <w:rFonts w:eastAsiaTheme="majorEastAsia"/>
        </w:rPr>
        <w:t>2025</w:t>
      </w:r>
      <w:r>
        <w:t xml:space="preserve">, vlera u rrit sërish në </w:t>
      </w:r>
      <w:r>
        <w:rPr>
          <w:rStyle w:val="Strong"/>
          <w:rFonts w:eastAsiaTheme="majorEastAsia"/>
        </w:rPr>
        <w:t>0.23</w:t>
      </w:r>
      <w:r>
        <w:t xml:space="preserve">, që përfaqëson një rimëkëmbje të lehtë nga viti 2024. Në vitin </w:t>
      </w:r>
      <w:r>
        <w:rPr>
          <w:rStyle w:val="Strong"/>
          <w:rFonts w:eastAsiaTheme="majorEastAsia"/>
        </w:rPr>
        <w:t>2026</w:t>
      </w:r>
      <w:r>
        <w:t xml:space="preserve">, vlera mbeti e qëndrueshme në </w:t>
      </w:r>
      <w:r>
        <w:rPr>
          <w:rStyle w:val="Strong"/>
          <w:rFonts w:eastAsiaTheme="majorEastAsia"/>
        </w:rPr>
        <w:t>0.23</w:t>
      </w:r>
      <w:r>
        <w:t>, duke mos ndryshuar nga viti i mëparshëm. Kjo tregon një stabilitet të mundshëm pas luhatjeve të mëparshme. Luhatjet e tilla mund të reflektojnë në ndryshimet ekonomike, sociale ose politike në bashki. Trendi përgjatë këtyre viteve tregon për një nevojë analize më të thellë për të kuptuar arsyet e këtyre ndryshimeve.</w:t>
      </w:r>
    </w:p>
    <w:p w:rsidR="00D60D23" w:rsidRDefault="00ED2D5A" w:rsidP="00681F58"/>
    <w:p w:rsidR="00822F95" w:rsidRDefault="00F7615D">
      <w:r>
        <w:rPr>
          <w:noProof/>
        </w:rPr>
        <w:drawing>
          <wp:inline distT="0" distB="0" distL="0" distR="0">
            <wp:extent cx="5486400" cy="3200400"/>
            <wp:effectExtent l="0" t="0" r="0" b="0"/>
            <wp:docPr id="1902859302" name="Chart 1902859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D52FA" w:rsidRDefault="00ED2D5A" w:rsidP="0030311D"/>
    <w:p w:rsidR="005D52FA" w:rsidRDefault="00ED2D5A" w:rsidP="0030311D"/>
    <w:p w:rsidR="005D52FA" w:rsidRDefault="00ED2D5A" w:rsidP="0030311D"/>
    <w:p w:rsidR="00FC041B" w:rsidRDefault="00FC041B" w:rsidP="0030311D"/>
    <w:p w:rsidR="005745F5" w:rsidRDefault="00ED2D5A"/>
    <w:p w:rsidR="00681F58" w:rsidRDefault="00F7615D" w:rsidP="00681F58">
      <w:pPr>
        <w:pStyle w:val="indicatorNameStyle"/>
        <w:numPr>
          <w:ilvl w:val="0"/>
          <w:numId w:val="3"/>
        </w:numPr>
      </w:pPr>
      <w:r>
        <w:lastRenderedPageBreak/>
        <w:t>Pesha e detyrimeve financiare të papaguara ndaj të tretëve (%)</w:t>
      </w:r>
    </w:p>
    <w:p w:rsidR="00681F58" w:rsidRDefault="00ED2D5A" w:rsidP="00DC2312"/>
    <w:p w:rsidR="0005294B" w:rsidRDefault="00F7615D">
      <w:pPr>
        <w:pStyle w:val="NormalWeb"/>
        <w:divId w:val="1003044590"/>
      </w:pPr>
      <w:r>
        <w:t xml:space="preserve">Të dhënat e bashkisë Memaliaj tregojnë një ndryshim të dukshëm në dinamikën ekonomike përgjatë viteve të fundit. Në </w:t>
      </w:r>
      <w:r>
        <w:rPr>
          <w:rStyle w:val="Strong"/>
          <w:rFonts w:eastAsiaTheme="majorEastAsia"/>
        </w:rPr>
        <w:t>2021</w:t>
      </w:r>
      <w:r>
        <w:t xml:space="preserve"> dhe </w:t>
      </w:r>
      <w:r>
        <w:rPr>
          <w:rStyle w:val="Strong"/>
          <w:rFonts w:eastAsiaTheme="majorEastAsia"/>
        </w:rPr>
        <w:t>2022</w:t>
      </w:r>
      <w:r>
        <w:t xml:space="preserve">, vlera e të dhënave ishte </w:t>
      </w:r>
      <w:r>
        <w:rPr>
          <w:rStyle w:val="Strong"/>
          <w:rFonts w:eastAsiaTheme="majorEastAsia"/>
        </w:rPr>
        <w:t>0</w:t>
      </w:r>
      <w:r>
        <w:t xml:space="preserve">, duke sugjeruar se nuk kishte aktivitet të dokumentuar ose vlera ekonomike të raportuara në këto vitet. Ky ndryshim drastik reflekton fillimin e një aktiviteti ose iniciative të re ekonomike pas </w:t>
      </w:r>
      <w:r>
        <w:rPr>
          <w:rStyle w:val="Strong"/>
          <w:rFonts w:eastAsiaTheme="majorEastAsia"/>
        </w:rPr>
        <w:t>2022</w:t>
      </w:r>
      <w:r>
        <w:t xml:space="preserve">. Në </w:t>
      </w:r>
      <w:r>
        <w:rPr>
          <w:rStyle w:val="Strong"/>
          <w:rFonts w:eastAsiaTheme="majorEastAsia"/>
        </w:rPr>
        <w:t>2023</w:t>
      </w:r>
      <w:r>
        <w:t xml:space="preserve">, ka pasur një rritje të mrekullueshme me vlerën që arrin në </w:t>
      </w:r>
      <w:r>
        <w:rPr>
          <w:rStyle w:val="Strong"/>
          <w:rFonts w:eastAsiaTheme="majorEastAsia"/>
        </w:rPr>
        <w:t>8753.18</w:t>
      </w:r>
      <w:r>
        <w:t xml:space="preserve">, sinjalizues për një zgjerim të mundshëm ekonomik. Në </w:t>
      </w:r>
      <w:r>
        <w:rPr>
          <w:rStyle w:val="Strong"/>
          <w:rFonts w:eastAsiaTheme="majorEastAsia"/>
        </w:rPr>
        <w:t>2024</w:t>
      </w:r>
      <w:r>
        <w:t xml:space="preserve">, ka një rënie të theksuar në </w:t>
      </w:r>
      <w:r>
        <w:rPr>
          <w:rStyle w:val="Strong"/>
          <w:rFonts w:eastAsiaTheme="majorEastAsia"/>
        </w:rPr>
        <w:t>3125.64</w:t>
      </w:r>
      <w:r>
        <w:t xml:space="preserve">, çka sugjeron një ulje të aktiviteteve që mund të jetë e përkohshme. </w:t>
      </w:r>
      <w:r>
        <w:rPr>
          <w:rStyle w:val="Strong"/>
          <w:rFonts w:eastAsiaTheme="majorEastAsia"/>
        </w:rPr>
        <w:t>2025</w:t>
      </w:r>
      <w:r>
        <w:t xml:space="preserve"> paraqet një rritje të re me vlerën që shënon </w:t>
      </w:r>
      <w:r>
        <w:rPr>
          <w:rStyle w:val="Strong"/>
          <w:rFonts w:eastAsiaTheme="majorEastAsia"/>
        </w:rPr>
        <w:t>5209.4</w:t>
      </w:r>
      <w:r>
        <w:t xml:space="preserve">, e cila tregon për rigjallërimin e mundshëm të ekonomisë. Për </w:t>
      </w:r>
      <w:r>
        <w:rPr>
          <w:rStyle w:val="Strong"/>
          <w:rFonts w:eastAsiaTheme="majorEastAsia"/>
        </w:rPr>
        <w:t>2026</w:t>
      </w:r>
      <w:r>
        <w:t xml:space="preserve">, ka një lehtësi ulje në </w:t>
      </w:r>
      <w:r>
        <w:rPr>
          <w:rStyle w:val="Strong"/>
          <w:rFonts w:eastAsiaTheme="majorEastAsia"/>
        </w:rPr>
        <w:t>5124</w:t>
      </w:r>
      <w:r>
        <w:t>, e cila është e qëndrueshme krahasuar me vitin e kaluar. Ky trend reflekton lëvizjet e paqëndrueshme që mund të jenë tipike për fazat e hershme të zhvillimit ekonomik. Faktorët që mund të kenë ndikuar këto ndryshime përfshijnë politikën lokale, investimet e reja apo ndryshimet në ligjet e tregut të punës. Analiza e duhur e këtyre të dhënave mund të ndihmojë në hartimin e planeve strategjike për të ardhmen në Memaliaj.</w:t>
      </w:r>
    </w:p>
    <w:p w:rsidR="00D60D23" w:rsidRDefault="00ED2D5A" w:rsidP="00681F58"/>
    <w:p w:rsidR="00822F95" w:rsidRDefault="00F7615D">
      <w:r>
        <w:rPr>
          <w:noProof/>
        </w:rPr>
        <w:drawing>
          <wp:inline distT="0" distB="0" distL="0" distR="0">
            <wp:extent cx="5486400" cy="3200400"/>
            <wp:effectExtent l="0" t="0" r="0" b="0"/>
            <wp:docPr id="1902859303" name="Chart 1902859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D52FA" w:rsidRDefault="00ED2D5A" w:rsidP="0030311D"/>
    <w:p w:rsidR="005D52FA" w:rsidRDefault="00ED2D5A" w:rsidP="0030311D"/>
    <w:p w:rsidR="005D52FA" w:rsidRDefault="00ED2D5A" w:rsidP="0030311D"/>
    <w:sectPr w:rsidR="005D52FA" w:rsidSect="005529DE">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D5A" w:rsidRDefault="00ED2D5A" w:rsidP="00847A71">
      <w:pPr>
        <w:spacing w:after="0" w:line="240" w:lineRule="auto"/>
      </w:pPr>
      <w:r>
        <w:separator/>
      </w:r>
    </w:p>
  </w:endnote>
  <w:endnote w:type="continuationSeparator" w:id="0">
    <w:p w:rsidR="00ED2D5A" w:rsidRDefault="00ED2D5A" w:rsidP="0084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C88" w:rsidRDefault="00F7615D">
    <w:pPr>
      <w:spacing w:after="0"/>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sidR="006E4FD7">
      <w:rPr>
        <w:caps/>
        <w:noProof/>
        <w:color w:val="156082" w:themeColor="accent1"/>
      </w:rPr>
      <w:t>4</w:t>
    </w:r>
    <w:r>
      <w:rPr>
        <w:caps/>
        <w:noProof/>
        <w:color w:val="156082" w:themeColor="accent1"/>
      </w:rPr>
      <w:fldChar w:fldCharType="end"/>
    </w:r>
  </w:p>
  <w:p w:rsidR="00005C88" w:rsidRDefault="00ED2D5A">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D5A" w:rsidRDefault="00ED2D5A" w:rsidP="00847A71">
      <w:pPr>
        <w:spacing w:after="0" w:line="240" w:lineRule="auto"/>
      </w:pPr>
      <w:r>
        <w:separator/>
      </w:r>
    </w:p>
  </w:footnote>
  <w:footnote w:type="continuationSeparator" w:id="0">
    <w:p w:rsidR="00ED2D5A" w:rsidRDefault="00ED2D5A" w:rsidP="00847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1E" w:rsidRDefault="00ED2D5A" w:rsidP="0053421F">
    <w:pPr>
      <w:spacing w:after="0"/>
      <w:rPr>
        <w:b/>
        <w:bCs/>
        <w:sz w:val="44"/>
        <w:szCs w:val="44"/>
      </w:rPr>
    </w:pPr>
  </w:p>
  <w:p w:rsidR="00311EE7" w:rsidRDefault="00ED2D5A" w:rsidP="0053421F">
    <w:pPr>
      <w:spacing w:after="0"/>
      <w:rPr>
        <w:b/>
        <w:bCs/>
        <w:sz w:val="44"/>
        <w:szCs w:val="44"/>
      </w:rPr>
    </w:pPr>
  </w:p>
  <w:p w:rsidR="00005C88" w:rsidRPr="003A755A" w:rsidRDefault="00F7615D" w:rsidP="0053421F">
    <w:pPr>
      <w:spacing w:after="0"/>
      <w:rPr>
        <w:b/>
        <w:bCs/>
        <w:sz w:val="44"/>
        <w:szCs w:val="44"/>
      </w:rPr>
    </w:pPr>
    <w:r>
      <w:rPr>
        <w:b/>
        <w:bCs/>
        <w:noProof/>
        <w:sz w:val="44"/>
        <w:szCs w:val="44"/>
      </w:rPr>
      <w:drawing>
        <wp:anchor distT="0" distB="0" distL="114300" distR="114300" simplePos="0" relativeHeight="251658240" behindDoc="1" locked="1" layoutInCell="1" allowOverlap="1" wp14:anchorId="6F65A32A" wp14:editId="499F4D3B">
          <wp:simplePos x="0" y="0"/>
          <wp:positionH relativeFrom="page">
            <wp:align>center</wp:align>
          </wp:positionH>
          <wp:positionV relativeFrom="page">
            <wp:posOffset>91440</wp:posOffset>
          </wp:positionV>
          <wp:extent cx="1133856" cy="1133856"/>
          <wp:effectExtent l="0" t="0" r="9525" b="9525"/>
          <wp:wrapNone/>
          <wp:docPr id="67295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52175" name="Picture 672952175"/>
                  <pic:cNvPicPr/>
                </pic:nvPicPr>
                <pic:blipFill>
                  <a:blip r:embed="rId1">
                    <a:extLst>
                      <a:ext uri="{28A0092B-C50C-407E-A947-70E740481C1C}">
                        <a14:useLocalDpi xmlns:a14="http://schemas.microsoft.com/office/drawing/2010/main" val="0"/>
                      </a:ext>
                    </a:extLst>
                  </a:blip>
                  <a:stretch>
                    <a:fillRect/>
                  </a:stretch>
                </pic:blipFill>
                <pic:spPr>
                  <a:xfrm>
                    <a:off x="0" y="0"/>
                    <a:ext cx="1133856" cy="11338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8C25A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A1C"/>
      </v:shape>
    </w:pict>
  </w:numPicBullet>
  <w:abstractNum w:abstractNumId="0" w15:restartNumberingAfterBreak="0">
    <w:nsid w:val="01251E6B"/>
    <w:multiLevelType w:val="hybridMultilevel"/>
    <w:tmpl w:val="B1884CCC"/>
    <w:lvl w:ilvl="0" w:tplc="945291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55218"/>
    <w:multiLevelType w:val="hybridMultilevel"/>
    <w:tmpl w:val="DF28B0B8"/>
    <w:lvl w:ilvl="0" w:tplc="15F4A69A">
      <w:start w:val="1"/>
      <w:numFmt w:val="bullet"/>
      <w:pStyle w:val="Style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F251E"/>
    <w:multiLevelType w:val="hybridMultilevel"/>
    <w:tmpl w:val="32F2F252"/>
    <w:lvl w:ilvl="0" w:tplc="FF2865DC">
      <w:start w:val="1"/>
      <w:numFmt w:val="bullet"/>
      <w:pStyle w:val="dataNameStyle"/>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063B6"/>
    <w:multiLevelType w:val="hybridMultilevel"/>
    <w:tmpl w:val="32AE8CF4"/>
    <w:lvl w:ilvl="0" w:tplc="184EE1AE">
      <w:start w:val="1"/>
      <w:numFmt w:val="bullet"/>
      <w:pStyle w:val="indicatorName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12"/>
    <w:rsid w:val="00017001"/>
    <w:rsid w:val="0005294B"/>
    <w:rsid w:val="000708F2"/>
    <w:rsid w:val="00087AE8"/>
    <w:rsid w:val="00136FF4"/>
    <w:rsid w:val="00147AC5"/>
    <w:rsid w:val="001860D1"/>
    <w:rsid w:val="002A5238"/>
    <w:rsid w:val="002B6312"/>
    <w:rsid w:val="002D144B"/>
    <w:rsid w:val="0031045E"/>
    <w:rsid w:val="003338A1"/>
    <w:rsid w:val="003D32BF"/>
    <w:rsid w:val="003E3BF5"/>
    <w:rsid w:val="00400814"/>
    <w:rsid w:val="00431A19"/>
    <w:rsid w:val="00434583"/>
    <w:rsid w:val="00487468"/>
    <w:rsid w:val="004A2DF1"/>
    <w:rsid w:val="00537DAF"/>
    <w:rsid w:val="005529DE"/>
    <w:rsid w:val="005A29BF"/>
    <w:rsid w:val="005B526E"/>
    <w:rsid w:val="005E7F05"/>
    <w:rsid w:val="005F7436"/>
    <w:rsid w:val="006239CD"/>
    <w:rsid w:val="00641232"/>
    <w:rsid w:val="00684D49"/>
    <w:rsid w:val="006B5480"/>
    <w:rsid w:val="006E4FD7"/>
    <w:rsid w:val="0070718D"/>
    <w:rsid w:val="007C63B6"/>
    <w:rsid w:val="00810891"/>
    <w:rsid w:val="00847A71"/>
    <w:rsid w:val="0085741A"/>
    <w:rsid w:val="008C0404"/>
    <w:rsid w:val="008E6EFE"/>
    <w:rsid w:val="0091284A"/>
    <w:rsid w:val="0093475F"/>
    <w:rsid w:val="00961A04"/>
    <w:rsid w:val="009E0003"/>
    <w:rsid w:val="00A41232"/>
    <w:rsid w:val="00A41BC8"/>
    <w:rsid w:val="00A96BCD"/>
    <w:rsid w:val="00B138AE"/>
    <w:rsid w:val="00B4130F"/>
    <w:rsid w:val="00B84140"/>
    <w:rsid w:val="00B94ABB"/>
    <w:rsid w:val="00BC38D8"/>
    <w:rsid w:val="00BD5972"/>
    <w:rsid w:val="00C30BA9"/>
    <w:rsid w:val="00C40418"/>
    <w:rsid w:val="00C733B8"/>
    <w:rsid w:val="00CA4AA7"/>
    <w:rsid w:val="00CB5658"/>
    <w:rsid w:val="00CE33F3"/>
    <w:rsid w:val="00D067CE"/>
    <w:rsid w:val="00D27335"/>
    <w:rsid w:val="00E46253"/>
    <w:rsid w:val="00E566D9"/>
    <w:rsid w:val="00EB5301"/>
    <w:rsid w:val="00ED2D5A"/>
    <w:rsid w:val="00F17371"/>
    <w:rsid w:val="00F7615D"/>
    <w:rsid w:val="00F83F6B"/>
    <w:rsid w:val="00FC041B"/>
    <w:rsid w:val="00FE1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30A82"/>
  <w15:chartTrackingRefBased/>
  <w15:docId w15:val="{710A9665-9D8A-4D38-8EA7-BE8E832C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FF4"/>
    <w:pPr>
      <w:jc w:val="both"/>
    </w:pPr>
    <w:rPr>
      <w:rFonts w:ascii="Times New Roman" w:hAnsi="Times New Roman"/>
    </w:rPr>
  </w:style>
  <w:style w:type="paragraph" w:styleId="Heading1">
    <w:name w:val="heading 1"/>
    <w:basedOn w:val="Normal"/>
    <w:next w:val="Normal"/>
    <w:link w:val="Heading1Char"/>
    <w:uiPriority w:val="9"/>
    <w:qFormat/>
    <w:rsid w:val="0093475F"/>
    <w:pPr>
      <w:keepNext/>
      <w:keepLines/>
      <w:pageBreakBefore/>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7001"/>
    <w:pPr>
      <w:keepNext/>
      <w:keepLines/>
      <w:pageBreakBefore/>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45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63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63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6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6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6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6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7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70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4583"/>
    <w:rPr>
      <w:rFonts w:ascii="Times New Roman" w:eastAsiaTheme="majorEastAsia" w:hAnsi="Times New Roman"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63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63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6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6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6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6312"/>
    <w:rPr>
      <w:rFonts w:eastAsiaTheme="majorEastAsia" w:cstheme="majorBidi"/>
      <w:color w:val="272727" w:themeColor="text1" w:themeTint="D8"/>
    </w:rPr>
  </w:style>
  <w:style w:type="paragraph" w:styleId="Title">
    <w:name w:val="Title"/>
    <w:basedOn w:val="Normal"/>
    <w:next w:val="Normal"/>
    <w:link w:val="TitleChar"/>
    <w:uiPriority w:val="10"/>
    <w:qFormat/>
    <w:rsid w:val="002B6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6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6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6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6312"/>
    <w:pPr>
      <w:spacing w:before="160"/>
      <w:jc w:val="center"/>
    </w:pPr>
    <w:rPr>
      <w:i/>
      <w:iCs/>
      <w:color w:val="404040" w:themeColor="text1" w:themeTint="BF"/>
    </w:rPr>
  </w:style>
  <w:style w:type="character" w:customStyle="1" w:styleId="QuoteChar">
    <w:name w:val="Quote Char"/>
    <w:basedOn w:val="DefaultParagraphFont"/>
    <w:link w:val="Quote"/>
    <w:uiPriority w:val="29"/>
    <w:rsid w:val="002B6312"/>
    <w:rPr>
      <w:i/>
      <w:iCs/>
      <w:color w:val="404040" w:themeColor="text1" w:themeTint="BF"/>
    </w:rPr>
  </w:style>
  <w:style w:type="paragraph" w:styleId="ListParagraph">
    <w:name w:val="List Paragraph"/>
    <w:basedOn w:val="Normal"/>
    <w:uiPriority w:val="34"/>
    <w:qFormat/>
    <w:rsid w:val="002B6312"/>
    <w:pPr>
      <w:ind w:left="720"/>
      <w:contextualSpacing/>
    </w:pPr>
  </w:style>
  <w:style w:type="character" w:styleId="IntenseEmphasis">
    <w:name w:val="Intense Emphasis"/>
    <w:basedOn w:val="DefaultParagraphFont"/>
    <w:uiPriority w:val="21"/>
    <w:qFormat/>
    <w:rsid w:val="002B6312"/>
    <w:rPr>
      <w:i/>
      <w:iCs/>
      <w:color w:val="0F4761" w:themeColor="accent1" w:themeShade="BF"/>
    </w:rPr>
  </w:style>
  <w:style w:type="paragraph" w:styleId="IntenseQuote">
    <w:name w:val="Intense Quote"/>
    <w:basedOn w:val="Normal"/>
    <w:next w:val="Normal"/>
    <w:link w:val="IntenseQuoteChar"/>
    <w:uiPriority w:val="30"/>
    <w:qFormat/>
    <w:rsid w:val="002B6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6312"/>
    <w:rPr>
      <w:i/>
      <w:iCs/>
      <w:color w:val="0F4761" w:themeColor="accent1" w:themeShade="BF"/>
    </w:rPr>
  </w:style>
  <w:style w:type="character" w:styleId="IntenseReference">
    <w:name w:val="Intense Reference"/>
    <w:basedOn w:val="DefaultParagraphFont"/>
    <w:uiPriority w:val="32"/>
    <w:qFormat/>
    <w:rsid w:val="002B6312"/>
    <w:rPr>
      <w:b/>
      <w:bCs/>
      <w:smallCaps/>
      <w:color w:val="0F4761" w:themeColor="accent1" w:themeShade="BF"/>
      <w:spacing w:val="5"/>
    </w:rPr>
  </w:style>
  <w:style w:type="paragraph" w:styleId="NoSpacing">
    <w:name w:val="No Spacing"/>
    <w:uiPriority w:val="1"/>
    <w:qFormat/>
    <w:rsid w:val="005B526E"/>
    <w:pPr>
      <w:spacing w:after="0" w:line="240" w:lineRule="auto"/>
    </w:pPr>
    <w:rPr>
      <w:color w:val="0E2841" w:themeColor="text2"/>
      <w:kern w:val="0"/>
      <w:sz w:val="20"/>
      <w:szCs w:val="20"/>
      <w14:ligatures w14:val="none"/>
    </w:rPr>
  </w:style>
  <w:style w:type="table" w:styleId="GridTable4-Accent1">
    <w:name w:val="Grid Table 4 Accent 1"/>
    <w:basedOn w:val="TableNormal"/>
    <w:uiPriority w:val="49"/>
    <w:rsid w:val="005B526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bashkiaNameStyle">
    <w:name w:val="bashkiaName_Style"/>
    <w:basedOn w:val="Normal"/>
    <w:link w:val="bashkiaNameStyleChar"/>
    <w:qFormat/>
    <w:rsid w:val="005B526E"/>
    <w:rPr>
      <w:color w:val="0E2841" w:themeColor="text2"/>
      <w:sz w:val="28"/>
      <w14:textFill>
        <w14:solidFill>
          <w14:schemeClr w14:val="tx2">
            <w14:lumMod w14:val="10000"/>
            <w14:lumOff w14:val="90000"/>
            <w14:lumMod w14:val="10000"/>
            <w14:lumOff w14:val="90000"/>
          </w14:schemeClr>
        </w14:solidFill>
      </w14:textFill>
    </w:rPr>
  </w:style>
  <w:style w:type="paragraph" w:styleId="BodyText">
    <w:name w:val="Body Text"/>
    <w:basedOn w:val="Normal"/>
    <w:link w:val="BodyTextChar"/>
    <w:uiPriority w:val="1"/>
    <w:qFormat/>
    <w:rsid w:val="009E0003"/>
    <w:pPr>
      <w:widowControl w:val="0"/>
      <w:autoSpaceDE w:val="0"/>
      <w:autoSpaceDN w:val="0"/>
      <w:spacing w:after="0" w:line="240" w:lineRule="auto"/>
    </w:pPr>
    <w:rPr>
      <w:rFonts w:eastAsia="Times New Roman" w:cs="Times New Roman"/>
      <w:kern w:val="0"/>
      <w:lang w:val="sq-AL"/>
      <w14:ligatures w14:val="none"/>
    </w:rPr>
  </w:style>
  <w:style w:type="character" w:customStyle="1" w:styleId="bashkiaNameStyleChar">
    <w:name w:val="bashkiaName_Style Char"/>
    <w:basedOn w:val="DefaultParagraphFont"/>
    <w:link w:val="bashkiaNameStyle"/>
    <w:rsid w:val="005B526E"/>
    <w:rPr>
      <w:color w:val="0E2841" w:themeColor="text2"/>
      <w:sz w:val="28"/>
      <w14:textFill>
        <w14:solidFill>
          <w14:schemeClr w14:val="tx2">
            <w14:lumMod w14:val="10000"/>
            <w14:lumOff w14:val="90000"/>
            <w14:lumMod w14:val="10000"/>
            <w14:lumOff w14:val="90000"/>
          </w14:schemeClr>
        </w14:solidFill>
      </w14:textFill>
    </w:rPr>
  </w:style>
  <w:style w:type="character" w:customStyle="1" w:styleId="BodyTextChar">
    <w:name w:val="Body Text Char"/>
    <w:basedOn w:val="DefaultParagraphFont"/>
    <w:link w:val="BodyText"/>
    <w:uiPriority w:val="1"/>
    <w:rsid w:val="009E0003"/>
    <w:rPr>
      <w:rFonts w:ascii="Times New Roman" w:eastAsia="Times New Roman" w:hAnsi="Times New Roman" w:cs="Times New Roman"/>
      <w:kern w:val="0"/>
      <w:lang w:val="sq-AL"/>
      <w14:ligatures w14:val="none"/>
    </w:rPr>
  </w:style>
  <w:style w:type="paragraph" w:styleId="TOCHeading">
    <w:name w:val="TOC Heading"/>
    <w:basedOn w:val="Heading1"/>
    <w:next w:val="Normal"/>
    <w:uiPriority w:val="39"/>
    <w:unhideWhenUsed/>
    <w:qFormat/>
    <w:rsid w:val="009E0003"/>
    <w:pPr>
      <w:pageBreakBefore w:val="0"/>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9E0003"/>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9E0003"/>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9E0003"/>
    <w:pPr>
      <w:spacing w:after="100" w:line="259" w:lineRule="auto"/>
      <w:ind w:left="440"/>
    </w:pPr>
    <w:rPr>
      <w:rFonts w:eastAsiaTheme="minorEastAsia" w:cs="Times New Roman"/>
      <w:kern w:val="0"/>
      <w:sz w:val="22"/>
      <w:szCs w:val="22"/>
      <w14:ligatures w14:val="none"/>
    </w:rPr>
  </w:style>
  <w:style w:type="character" w:styleId="Hyperlink">
    <w:name w:val="Hyperlink"/>
    <w:basedOn w:val="DefaultParagraphFont"/>
    <w:uiPriority w:val="99"/>
    <w:unhideWhenUsed/>
    <w:rsid w:val="009E0003"/>
    <w:rPr>
      <w:color w:val="467886" w:themeColor="hyperlink"/>
      <w:u w:val="single"/>
    </w:rPr>
  </w:style>
  <w:style w:type="paragraph" w:customStyle="1" w:styleId="firstSessionStyle">
    <w:name w:val="firstSession_Style"/>
    <w:basedOn w:val="Heading1"/>
    <w:link w:val="firstSessionStyleChar"/>
    <w:qFormat/>
    <w:rsid w:val="009E0003"/>
    <w:pPr>
      <w:shd w:val="clear" w:color="auto" w:fill="A5C9EB" w:themeFill="text2" w:themeFillTint="40"/>
    </w:pPr>
    <w:rPr>
      <w:rFonts w:ascii="Times New Roman" w:hAnsi="Times New Roman" w:cs="Times New Roman"/>
      <w:color w:val="FFFFFF" w:themeColor="background1"/>
      <w:sz w:val="32"/>
      <w:lang w:val="nl-BE"/>
    </w:rPr>
  </w:style>
  <w:style w:type="paragraph" w:styleId="NormalWeb">
    <w:name w:val="Normal (Web)"/>
    <w:basedOn w:val="Normal"/>
    <w:uiPriority w:val="99"/>
    <w:unhideWhenUsed/>
    <w:rsid w:val="005F7436"/>
    <w:pPr>
      <w:spacing w:before="100" w:beforeAutospacing="1" w:after="100" w:afterAutospacing="1" w:line="240" w:lineRule="auto"/>
    </w:pPr>
    <w:rPr>
      <w:rFonts w:eastAsia="Times New Roman" w:cs="Times New Roman"/>
      <w:kern w:val="0"/>
      <w14:ligatures w14:val="none"/>
    </w:rPr>
  </w:style>
  <w:style w:type="character" w:customStyle="1" w:styleId="firstSessionStyleChar">
    <w:name w:val="firstSession_Style Char"/>
    <w:basedOn w:val="DefaultParagraphFont"/>
    <w:link w:val="firstSessionStyle"/>
    <w:rsid w:val="001860D1"/>
    <w:rPr>
      <w:rFonts w:ascii="Times New Roman" w:eastAsiaTheme="majorEastAsia" w:hAnsi="Times New Roman" w:cs="Times New Roman"/>
      <w:color w:val="FFFFFF" w:themeColor="background1"/>
      <w:sz w:val="32"/>
      <w:szCs w:val="40"/>
      <w:shd w:val="clear" w:color="auto" w:fill="A5C9EB" w:themeFill="text2" w:themeFillTint="40"/>
      <w:lang w:val="nl-BE"/>
    </w:rPr>
  </w:style>
  <w:style w:type="paragraph" w:styleId="BalloonText">
    <w:name w:val="Balloon Text"/>
    <w:basedOn w:val="Normal"/>
    <w:link w:val="BalloonTextChar"/>
    <w:uiPriority w:val="99"/>
    <w:semiHidden/>
    <w:unhideWhenUsed/>
    <w:rsid w:val="005F7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436"/>
    <w:rPr>
      <w:rFonts w:ascii="Segoe UI" w:hAnsi="Segoe UI" w:cs="Segoe UI"/>
      <w:sz w:val="18"/>
      <w:szCs w:val="18"/>
    </w:rPr>
  </w:style>
  <w:style w:type="paragraph" w:customStyle="1" w:styleId="MenaxhimiFinanciarH2Style">
    <w:name w:val="MenaxhimiFinanciarH2_Style"/>
    <w:basedOn w:val="Heading2"/>
    <w:link w:val="MenaxhimiFinanciarH2StyleChar"/>
    <w:rsid w:val="001860D1"/>
    <w:rPr>
      <w:lang w:val="nl-BE"/>
    </w:rPr>
  </w:style>
  <w:style w:type="paragraph" w:customStyle="1" w:styleId="Style1">
    <w:name w:val="Style1"/>
    <w:basedOn w:val="MenaxhimiFinanciarH2Style"/>
    <w:link w:val="Style1Char"/>
    <w:qFormat/>
    <w:rsid w:val="008E6EFE"/>
    <w:pPr>
      <w:shd w:val="clear" w:color="auto" w:fill="E8E8E8" w:themeFill="background2"/>
    </w:pPr>
    <w:rPr>
      <w:rFonts w:ascii="Times New Roman" w:hAnsi="Times New Roman" w:cs="Times New Roman"/>
      <w:color w:val="4C94D8" w:themeColor="text2" w:themeTint="80"/>
    </w:rPr>
  </w:style>
  <w:style w:type="character" w:customStyle="1" w:styleId="MenaxhimiFinanciarH2StyleChar">
    <w:name w:val="MenaxhimiFinanciarH2_Style Char"/>
    <w:basedOn w:val="Heading2Char"/>
    <w:link w:val="MenaxhimiFinanciarH2Style"/>
    <w:rsid w:val="001860D1"/>
    <w:rPr>
      <w:rFonts w:asciiTheme="majorHAnsi" w:eastAsiaTheme="majorEastAsia" w:hAnsiTheme="majorHAnsi" w:cstheme="majorBidi"/>
      <w:color w:val="0F4761" w:themeColor="accent1" w:themeShade="BF"/>
      <w:sz w:val="32"/>
      <w:szCs w:val="32"/>
      <w:lang w:val="nl-BE"/>
    </w:rPr>
  </w:style>
  <w:style w:type="character" w:customStyle="1" w:styleId="Style1Char">
    <w:name w:val="Style1 Char"/>
    <w:basedOn w:val="MenaxhimiFinanciarH2StyleChar"/>
    <w:link w:val="Style1"/>
    <w:rsid w:val="008E6EFE"/>
    <w:rPr>
      <w:rFonts w:ascii="Times New Roman" w:eastAsiaTheme="majorEastAsia" w:hAnsi="Times New Roman" w:cs="Times New Roman"/>
      <w:color w:val="4C94D8" w:themeColor="text2" w:themeTint="80"/>
      <w:sz w:val="32"/>
      <w:szCs w:val="32"/>
      <w:shd w:val="clear" w:color="auto" w:fill="E8E8E8" w:themeFill="background2"/>
      <w:lang w:val="nl-BE"/>
    </w:rPr>
  </w:style>
  <w:style w:type="character" w:styleId="Strong">
    <w:name w:val="Strong"/>
    <w:basedOn w:val="DefaultParagraphFont"/>
    <w:uiPriority w:val="22"/>
    <w:qFormat/>
    <w:rsid w:val="00400814"/>
    <w:rPr>
      <w:b/>
      <w:bCs/>
    </w:rPr>
  </w:style>
  <w:style w:type="paragraph" w:customStyle="1" w:styleId="Style2">
    <w:name w:val="Style2"/>
    <w:basedOn w:val="Normal"/>
    <w:link w:val="Style2Char"/>
    <w:qFormat/>
    <w:rsid w:val="000708F2"/>
    <w:pPr>
      <w:numPr>
        <w:numId w:val="1"/>
      </w:numPr>
    </w:pPr>
    <w:rPr>
      <w:rFonts w:cs="Times New Roman"/>
      <w:color w:val="747474" w:themeColor="background2" w:themeShade="80"/>
      <w:sz w:val="28"/>
      <w:lang w:val="nl-BE"/>
    </w:rPr>
  </w:style>
  <w:style w:type="character" w:customStyle="1" w:styleId="Style2Char">
    <w:name w:val="Style2 Char"/>
    <w:basedOn w:val="Heading3Char"/>
    <w:link w:val="Style2"/>
    <w:rsid w:val="000708F2"/>
    <w:rPr>
      <w:rFonts w:ascii="Times New Roman" w:eastAsiaTheme="majorEastAsia" w:hAnsi="Times New Roman" w:cs="Times New Roman"/>
      <w:color w:val="747474" w:themeColor="background2" w:themeShade="80"/>
      <w:sz w:val="28"/>
      <w:szCs w:val="28"/>
      <w:lang w:val="nl-BE"/>
    </w:rPr>
  </w:style>
  <w:style w:type="paragraph" w:styleId="Header">
    <w:name w:val="header"/>
    <w:basedOn w:val="Normal"/>
    <w:link w:val="HeaderChar"/>
    <w:uiPriority w:val="99"/>
    <w:unhideWhenUsed/>
    <w:rsid w:val="00847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A71"/>
    <w:rPr>
      <w:rFonts w:ascii="Times New Roman" w:hAnsi="Times New Roman"/>
    </w:rPr>
  </w:style>
  <w:style w:type="paragraph" w:styleId="Footer">
    <w:name w:val="footer"/>
    <w:basedOn w:val="Normal"/>
    <w:link w:val="FooterChar"/>
    <w:uiPriority w:val="99"/>
    <w:unhideWhenUsed/>
    <w:rsid w:val="00847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A71"/>
    <w:rPr>
      <w:rFonts w:ascii="Times New Roman" w:hAnsi="Times New Roman"/>
    </w:rPr>
  </w:style>
  <w:style w:type="table" w:styleId="TableGrid">
    <w:name w:val="Table Grid"/>
    <w:basedOn w:val="TableNormal"/>
    <w:uiPriority w:val="39"/>
    <w:pPr>
      <w:spacing w:after="0" w:line="240" w:lineRule="auto"/>
      <w:jc w:val="both"/>
    </w:pPr>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ragraphSpacing">
    <w:name w:val="pharagraph Spacing"/>
    <w:basedOn w:val="Normal"/>
    <w:link w:val="pharagraphSpacingChar"/>
    <w:qFormat/>
    <w:pPr>
      <w:spacing w:after="0" w:line="259" w:lineRule="auto"/>
    </w:pPr>
    <w:rPr>
      <w:szCs w:val="22"/>
    </w:rPr>
  </w:style>
  <w:style w:type="character" w:customStyle="1" w:styleId="pharagraphSpacingChar">
    <w:name w:val="pharagraph Spacing Char"/>
    <w:basedOn w:val="DefaultParagraphFont"/>
    <w:link w:val="pharagraphSpacing"/>
    <w:rPr>
      <w:rFonts w:ascii="Times New Roman" w:hAnsi="Times New Roman"/>
      <w:szCs w:val="22"/>
    </w:rPr>
  </w:style>
  <w:style w:type="paragraph" w:customStyle="1" w:styleId="DataIndicatorText">
    <w:name w:val="Data Indicator Text"/>
    <w:basedOn w:val="Normal"/>
    <w:link w:val="DataIndicatorTextChar"/>
    <w:autoRedefine/>
    <w:qFormat/>
    <w:pPr>
      <w:spacing w:before="120" w:after="120" w:line="259" w:lineRule="auto"/>
    </w:pPr>
    <w:rPr>
      <w:b/>
      <w:i/>
      <w:color w:val="0F4761" w:themeColor="accent1" w:themeShade="BF"/>
      <w:sz w:val="28"/>
      <w:szCs w:val="22"/>
    </w:rPr>
  </w:style>
  <w:style w:type="character" w:customStyle="1" w:styleId="DataIndicatorTextChar">
    <w:name w:val="Data Indicator Text Char"/>
    <w:basedOn w:val="DefaultParagraphFont"/>
    <w:link w:val="DataIndicatorText"/>
    <w:rPr>
      <w:rFonts w:ascii="Times New Roman" w:hAnsi="Times New Roman"/>
      <w:b/>
      <w:i/>
      <w:color w:val="0F4761" w:themeColor="accent1" w:themeShade="BF"/>
      <w:sz w:val="28"/>
      <w:szCs w:val="22"/>
    </w:rPr>
  </w:style>
  <w:style w:type="paragraph" w:customStyle="1" w:styleId="StyleofIndicator">
    <w:name w:val="StyleofIndicator"/>
    <w:basedOn w:val="Normal"/>
    <w:link w:val="StyleofIndicatorChar"/>
    <w:qFormat/>
    <w:pPr>
      <w:spacing w:before="120" w:after="120" w:line="259" w:lineRule="auto"/>
    </w:pPr>
    <w:rPr>
      <w:b/>
      <w:i/>
      <w:color w:val="0F4761" w:themeColor="accent1" w:themeShade="BF"/>
      <w:sz w:val="28"/>
      <w:szCs w:val="22"/>
    </w:rPr>
  </w:style>
  <w:style w:type="character" w:customStyle="1" w:styleId="StyleofIndicatorChar">
    <w:name w:val="StyleofIndicator Char"/>
    <w:basedOn w:val="DefaultParagraphFont"/>
    <w:link w:val="StyleofIndicator"/>
    <w:rPr>
      <w:rFonts w:ascii="Times New Roman" w:hAnsi="Times New Roman"/>
      <w:b/>
      <w:i/>
      <w:color w:val="0F4761" w:themeColor="accent1" w:themeShade="BF"/>
      <w:sz w:val="28"/>
      <w:szCs w:val="22"/>
    </w:rPr>
  </w:style>
  <w:style w:type="paragraph" w:customStyle="1" w:styleId="sherbimiHeader1">
    <w:name w:val="sherbimiHeader1"/>
    <w:basedOn w:val="Heading2"/>
    <w:link w:val="sherbimiHeader1Char"/>
    <w:qFormat/>
    <w:pPr>
      <w:keepNext w:val="0"/>
      <w:keepLines w:val="0"/>
      <w:shd w:val="clear" w:color="auto" w:fill="F2F2F2" w:themeFill="background1" w:themeFillShade="F2"/>
      <w:tabs>
        <w:tab w:val="left" w:pos="1106"/>
      </w:tabs>
      <w:spacing w:before="40" w:after="120" w:line="259" w:lineRule="auto"/>
      <w:jc w:val="center"/>
    </w:pPr>
    <w:rPr>
      <w:rFonts w:ascii="Times New Roman" w:hAnsi="Times New Roman"/>
      <w:b/>
      <w:szCs w:val="26"/>
    </w:rPr>
  </w:style>
  <w:style w:type="paragraph" w:customStyle="1" w:styleId="sherbimiPershkrimTextStyle">
    <w:name w:val="sherbimiPershkrimTextStyle"/>
    <w:basedOn w:val="Normal"/>
    <w:link w:val="sherbimiPershkrimTextStyleChar"/>
    <w:qFormat/>
    <w:pPr>
      <w:spacing w:before="240" w:after="240" w:line="240" w:lineRule="auto"/>
      <w:ind w:left="288" w:right="288"/>
    </w:pPr>
    <w:rPr>
      <w:b/>
      <w:i/>
      <w:sz w:val="22"/>
      <w:szCs w:val="22"/>
    </w:rPr>
  </w:style>
  <w:style w:type="character" w:customStyle="1" w:styleId="sherbimiHeader1Char">
    <w:name w:val="sherbimiHeader1 Char"/>
    <w:basedOn w:val="Heading2Char"/>
    <w:link w:val="sherbimiHeader1"/>
    <w:rPr>
      <w:rFonts w:ascii="Times New Roman" w:eastAsiaTheme="majorEastAsia" w:hAnsi="Times New Roman" w:cstheme="majorBidi"/>
      <w:b/>
      <w:color w:val="0F4761" w:themeColor="accent1" w:themeShade="BF"/>
      <w:sz w:val="32"/>
      <w:szCs w:val="26"/>
      <w:shd w:val="clear" w:color="auto" w:fill="F2F2F2" w:themeFill="background1" w:themeFillShade="F2"/>
    </w:rPr>
  </w:style>
  <w:style w:type="character" w:customStyle="1" w:styleId="sherbimiPershkrimTextStyleChar">
    <w:name w:val="sherbimiPershkrimTextStyle Char"/>
    <w:basedOn w:val="DefaultParagraphFont"/>
    <w:link w:val="sherbimiPershkrimTextStyle"/>
    <w:rPr>
      <w:rFonts w:ascii="Times New Roman" w:hAnsi="Times New Roman"/>
      <w:b/>
      <w:i/>
      <w:sz w:val="22"/>
      <w:szCs w:val="22"/>
    </w:rPr>
  </w:style>
  <w:style w:type="paragraph" w:customStyle="1" w:styleId="indicatorNameStyle">
    <w:name w:val="indicatorNameStyle"/>
    <w:basedOn w:val="Normal"/>
    <w:link w:val="indicatorNameStyleChar"/>
    <w:qFormat/>
    <w:pPr>
      <w:numPr>
        <w:numId w:val="2"/>
      </w:numPr>
      <w:spacing w:after="0" w:line="259" w:lineRule="auto"/>
      <w:jc w:val="left"/>
    </w:pPr>
    <w:rPr>
      <w:b/>
      <w:color w:val="0F4761" w:themeColor="accent1" w:themeShade="BF"/>
      <w:kern w:val="0"/>
      <w:sz w:val="28"/>
      <w:szCs w:val="22"/>
      <w14:ligatures w14:val="none"/>
    </w:rPr>
  </w:style>
  <w:style w:type="character" w:customStyle="1" w:styleId="indicatorNameStyleChar">
    <w:name w:val="indicatorNameStyle Char"/>
    <w:basedOn w:val="DefaultParagraphFont"/>
    <w:link w:val="indicatorNameStyle"/>
    <w:rPr>
      <w:rFonts w:ascii="Times New Roman" w:hAnsi="Times New Roman"/>
      <w:b/>
      <w:color w:val="0F4761" w:themeColor="accent1" w:themeShade="BF"/>
      <w:kern w:val="0"/>
      <w:sz w:val="28"/>
      <w:szCs w:val="22"/>
      <w14:ligatures w14:val="none"/>
    </w:rPr>
  </w:style>
  <w:style w:type="paragraph" w:customStyle="1" w:styleId="indicatordescription">
    <w:name w:val="indicator_description"/>
    <w:basedOn w:val="Normal"/>
    <w:link w:val="indicatordescriptionChar"/>
    <w:qFormat/>
    <w:pPr>
      <w:shd w:val="clear" w:color="auto" w:fill="CAEDFB" w:themeFill="accent4" w:themeFillTint="33"/>
      <w:spacing w:after="0" w:line="259" w:lineRule="auto"/>
      <w:jc w:val="left"/>
    </w:pPr>
    <w:rPr>
      <w:kern w:val="0"/>
      <w:sz w:val="22"/>
      <w:szCs w:val="22"/>
      <w14:ligatures w14:val="none"/>
    </w:rPr>
  </w:style>
  <w:style w:type="character" w:customStyle="1" w:styleId="indicatordescriptionChar">
    <w:name w:val="indicator_description Char"/>
    <w:basedOn w:val="DefaultParagraphFont"/>
    <w:link w:val="indicatordescription"/>
    <w:rPr>
      <w:rFonts w:ascii="Times New Roman" w:hAnsi="Times New Roman"/>
      <w:kern w:val="0"/>
      <w:sz w:val="22"/>
      <w:szCs w:val="22"/>
      <w:shd w:val="clear" w:color="auto" w:fill="CAEDFB" w:themeFill="accent4" w:themeFillTint="33"/>
      <w14:ligatures w14:val="none"/>
    </w:rPr>
  </w:style>
  <w:style w:type="paragraph" w:customStyle="1" w:styleId="dataNameStyle">
    <w:name w:val="dataNameStyle"/>
    <w:basedOn w:val="Heading4"/>
    <w:link w:val="dataNameStyleChar"/>
    <w:qFormat/>
    <w:pPr>
      <w:numPr>
        <w:numId w:val="4"/>
      </w:numPr>
      <w:spacing w:before="40" w:after="0" w:line="259" w:lineRule="auto"/>
      <w:jc w:val="left"/>
    </w:pPr>
    <w:rPr>
      <w:kern w:val="0"/>
      <w:szCs w:val="22"/>
      <w14:ligatures w14:val="none"/>
    </w:rPr>
  </w:style>
  <w:style w:type="character" w:customStyle="1" w:styleId="dataNameStyleChar">
    <w:name w:val="dataNameStyle Char"/>
    <w:basedOn w:val="DefaultParagraphFont"/>
    <w:link w:val="dataNameStyle"/>
    <w:rPr>
      <w:rFonts w:ascii="Times New Roman" w:eastAsiaTheme="majorEastAsia" w:hAnsi="Times New Roman" w:cstheme="majorBidi"/>
      <w:i/>
      <w:iCs/>
      <w:color w:val="0F4761" w:themeColor="accent1" w:themeShade="BF"/>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275">
      <w:bodyDiv w:val="1"/>
      <w:marLeft w:val="0"/>
      <w:marRight w:val="0"/>
      <w:marTop w:val="0"/>
      <w:marBottom w:val="0"/>
      <w:divBdr>
        <w:top w:val="none" w:sz="0" w:space="0" w:color="auto"/>
        <w:left w:val="none" w:sz="0" w:space="0" w:color="auto"/>
        <w:bottom w:val="none" w:sz="0" w:space="0" w:color="auto"/>
        <w:right w:val="none" w:sz="0" w:space="0" w:color="auto"/>
      </w:divBdr>
    </w:div>
    <w:div w:id="51467211">
      <w:bodyDiv w:val="1"/>
      <w:marLeft w:val="0"/>
      <w:marRight w:val="0"/>
      <w:marTop w:val="0"/>
      <w:marBottom w:val="0"/>
      <w:divBdr>
        <w:top w:val="none" w:sz="0" w:space="0" w:color="auto"/>
        <w:left w:val="none" w:sz="0" w:space="0" w:color="auto"/>
        <w:bottom w:val="none" w:sz="0" w:space="0" w:color="auto"/>
        <w:right w:val="none" w:sz="0" w:space="0" w:color="auto"/>
      </w:divBdr>
    </w:div>
    <w:div w:id="74598170">
      <w:bodyDiv w:val="1"/>
      <w:marLeft w:val="0"/>
      <w:marRight w:val="0"/>
      <w:marTop w:val="0"/>
      <w:marBottom w:val="0"/>
      <w:divBdr>
        <w:top w:val="none" w:sz="0" w:space="0" w:color="auto"/>
        <w:left w:val="none" w:sz="0" w:space="0" w:color="auto"/>
        <w:bottom w:val="none" w:sz="0" w:space="0" w:color="auto"/>
        <w:right w:val="none" w:sz="0" w:space="0" w:color="auto"/>
      </w:divBdr>
    </w:div>
    <w:div w:id="89089449">
      <w:bodyDiv w:val="1"/>
      <w:marLeft w:val="0"/>
      <w:marRight w:val="0"/>
      <w:marTop w:val="0"/>
      <w:marBottom w:val="0"/>
      <w:divBdr>
        <w:top w:val="none" w:sz="0" w:space="0" w:color="auto"/>
        <w:left w:val="none" w:sz="0" w:space="0" w:color="auto"/>
        <w:bottom w:val="none" w:sz="0" w:space="0" w:color="auto"/>
        <w:right w:val="none" w:sz="0" w:space="0" w:color="auto"/>
      </w:divBdr>
    </w:div>
    <w:div w:id="182016813">
      <w:bodyDiv w:val="1"/>
      <w:marLeft w:val="0"/>
      <w:marRight w:val="0"/>
      <w:marTop w:val="0"/>
      <w:marBottom w:val="0"/>
      <w:divBdr>
        <w:top w:val="none" w:sz="0" w:space="0" w:color="auto"/>
        <w:left w:val="none" w:sz="0" w:space="0" w:color="auto"/>
        <w:bottom w:val="none" w:sz="0" w:space="0" w:color="auto"/>
        <w:right w:val="none" w:sz="0" w:space="0" w:color="auto"/>
      </w:divBdr>
    </w:div>
    <w:div w:id="343244716">
      <w:bodyDiv w:val="1"/>
      <w:marLeft w:val="0"/>
      <w:marRight w:val="0"/>
      <w:marTop w:val="0"/>
      <w:marBottom w:val="0"/>
      <w:divBdr>
        <w:top w:val="none" w:sz="0" w:space="0" w:color="auto"/>
        <w:left w:val="none" w:sz="0" w:space="0" w:color="auto"/>
        <w:bottom w:val="none" w:sz="0" w:space="0" w:color="auto"/>
        <w:right w:val="none" w:sz="0" w:space="0" w:color="auto"/>
      </w:divBdr>
    </w:div>
    <w:div w:id="345643709">
      <w:bodyDiv w:val="1"/>
      <w:marLeft w:val="0"/>
      <w:marRight w:val="0"/>
      <w:marTop w:val="0"/>
      <w:marBottom w:val="0"/>
      <w:divBdr>
        <w:top w:val="none" w:sz="0" w:space="0" w:color="auto"/>
        <w:left w:val="none" w:sz="0" w:space="0" w:color="auto"/>
        <w:bottom w:val="none" w:sz="0" w:space="0" w:color="auto"/>
        <w:right w:val="none" w:sz="0" w:space="0" w:color="auto"/>
      </w:divBdr>
    </w:div>
    <w:div w:id="398327957">
      <w:bodyDiv w:val="1"/>
      <w:marLeft w:val="0"/>
      <w:marRight w:val="0"/>
      <w:marTop w:val="0"/>
      <w:marBottom w:val="0"/>
      <w:divBdr>
        <w:top w:val="none" w:sz="0" w:space="0" w:color="auto"/>
        <w:left w:val="none" w:sz="0" w:space="0" w:color="auto"/>
        <w:bottom w:val="none" w:sz="0" w:space="0" w:color="auto"/>
        <w:right w:val="none" w:sz="0" w:space="0" w:color="auto"/>
      </w:divBdr>
    </w:div>
    <w:div w:id="424152302">
      <w:bodyDiv w:val="1"/>
      <w:marLeft w:val="0"/>
      <w:marRight w:val="0"/>
      <w:marTop w:val="0"/>
      <w:marBottom w:val="0"/>
      <w:divBdr>
        <w:top w:val="none" w:sz="0" w:space="0" w:color="auto"/>
        <w:left w:val="none" w:sz="0" w:space="0" w:color="auto"/>
        <w:bottom w:val="none" w:sz="0" w:space="0" w:color="auto"/>
        <w:right w:val="none" w:sz="0" w:space="0" w:color="auto"/>
      </w:divBdr>
    </w:div>
    <w:div w:id="606236898">
      <w:bodyDiv w:val="1"/>
      <w:marLeft w:val="0"/>
      <w:marRight w:val="0"/>
      <w:marTop w:val="0"/>
      <w:marBottom w:val="0"/>
      <w:divBdr>
        <w:top w:val="none" w:sz="0" w:space="0" w:color="auto"/>
        <w:left w:val="none" w:sz="0" w:space="0" w:color="auto"/>
        <w:bottom w:val="none" w:sz="0" w:space="0" w:color="auto"/>
        <w:right w:val="none" w:sz="0" w:space="0" w:color="auto"/>
      </w:divBdr>
    </w:div>
    <w:div w:id="631327503">
      <w:bodyDiv w:val="1"/>
      <w:marLeft w:val="0"/>
      <w:marRight w:val="0"/>
      <w:marTop w:val="0"/>
      <w:marBottom w:val="0"/>
      <w:divBdr>
        <w:top w:val="none" w:sz="0" w:space="0" w:color="auto"/>
        <w:left w:val="none" w:sz="0" w:space="0" w:color="auto"/>
        <w:bottom w:val="none" w:sz="0" w:space="0" w:color="auto"/>
        <w:right w:val="none" w:sz="0" w:space="0" w:color="auto"/>
      </w:divBdr>
    </w:div>
    <w:div w:id="651057998">
      <w:bodyDiv w:val="1"/>
      <w:marLeft w:val="0"/>
      <w:marRight w:val="0"/>
      <w:marTop w:val="0"/>
      <w:marBottom w:val="0"/>
      <w:divBdr>
        <w:top w:val="none" w:sz="0" w:space="0" w:color="auto"/>
        <w:left w:val="none" w:sz="0" w:space="0" w:color="auto"/>
        <w:bottom w:val="none" w:sz="0" w:space="0" w:color="auto"/>
        <w:right w:val="none" w:sz="0" w:space="0" w:color="auto"/>
      </w:divBdr>
    </w:div>
    <w:div w:id="658726183">
      <w:bodyDiv w:val="1"/>
      <w:marLeft w:val="0"/>
      <w:marRight w:val="0"/>
      <w:marTop w:val="0"/>
      <w:marBottom w:val="0"/>
      <w:divBdr>
        <w:top w:val="none" w:sz="0" w:space="0" w:color="auto"/>
        <w:left w:val="none" w:sz="0" w:space="0" w:color="auto"/>
        <w:bottom w:val="none" w:sz="0" w:space="0" w:color="auto"/>
        <w:right w:val="none" w:sz="0" w:space="0" w:color="auto"/>
      </w:divBdr>
    </w:div>
    <w:div w:id="681198664">
      <w:bodyDiv w:val="1"/>
      <w:marLeft w:val="0"/>
      <w:marRight w:val="0"/>
      <w:marTop w:val="0"/>
      <w:marBottom w:val="0"/>
      <w:divBdr>
        <w:top w:val="none" w:sz="0" w:space="0" w:color="auto"/>
        <w:left w:val="none" w:sz="0" w:space="0" w:color="auto"/>
        <w:bottom w:val="none" w:sz="0" w:space="0" w:color="auto"/>
        <w:right w:val="none" w:sz="0" w:space="0" w:color="auto"/>
      </w:divBdr>
    </w:div>
    <w:div w:id="823474347">
      <w:bodyDiv w:val="1"/>
      <w:marLeft w:val="0"/>
      <w:marRight w:val="0"/>
      <w:marTop w:val="0"/>
      <w:marBottom w:val="0"/>
      <w:divBdr>
        <w:top w:val="none" w:sz="0" w:space="0" w:color="auto"/>
        <w:left w:val="none" w:sz="0" w:space="0" w:color="auto"/>
        <w:bottom w:val="none" w:sz="0" w:space="0" w:color="auto"/>
        <w:right w:val="none" w:sz="0" w:space="0" w:color="auto"/>
      </w:divBdr>
    </w:div>
    <w:div w:id="921765187">
      <w:bodyDiv w:val="1"/>
      <w:marLeft w:val="0"/>
      <w:marRight w:val="0"/>
      <w:marTop w:val="0"/>
      <w:marBottom w:val="0"/>
      <w:divBdr>
        <w:top w:val="none" w:sz="0" w:space="0" w:color="auto"/>
        <w:left w:val="none" w:sz="0" w:space="0" w:color="auto"/>
        <w:bottom w:val="none" w:sz="0" w:space="0" w:color="auto"/>
        <w:right w:val="none" w:sz="0" w:space="0" w:color="auto"/>
      </w:divBdr>
    </w:div>
    <w:div w:id="931278990">
      <w:bodyDiv w:val="1"/>
      <w:marLeft w:val="0"/>
      <w:marRight w:val="0"/>
      <w:marTop w:val="0"/>
      <w:marBottom w:val="0"/>
      <w:divBdr>
        <w:top w:val="none" w:sz="0" w:space="0" w:color="auto"/>
        <w:left w:val="none" w:sz="0" w:space="0" w:color="auto"/>
        <w:bottom w:val="none" w:sz="0" w:space="0" w:color="auto"/>
        <w:right w:val="none" w:sz="0" w:space="0" w:color="auto"/>
      </w:divBdr>
    </w:div>
    <w:div w:id="935792037">
      <w:bodyDiv w:val="1"/>
      <w:marLeft w:val="0"/>
      <w:marRight w:val="0"/>
      <w:marTop w:val="0"/>
      <w:marBottom w:val="0"/>
      <w:divBdr>
        <w:top w:val="none" w:sz="0" w:space="0" w:color="auto"/>
        <w:left w:val="none" w:sz="0" w:space="0" w:color="auto"/>
        <w:bottom w:val="none" w:sz="0" w:space="0" w:color="auto"/>
        <w:right w:val="none" w:sz="0" w:space="0" w:color="auto"/>
      </w:divBdr>
    </w:div>
    <w:div w:id="951084491">
      <w:bodyDiv w:val="1"/>
      <w:marLeft w:val="0"/>
      <w:marRight w:val="0"/>
      <w:marTop w:val="0"/>
      <w:marBottom w:val="0"/>
      <w:divBdr>
        <w:top w:val="none" w:sz="0" w:space="0" w:color="auto"/>
        <w:left w:val="none" w:sz="0" w:space="0" w:color="auto"/>
        <w:bottom w:val="none" w:sz="0" w:space="0" w:color="auto"/>
        <w:right w:val="none" w:sz="0" w:space="0" w:color="auto"/>
      </w:divBdr>
    </w:div>
    <w:div w:id="1002396256">
      <w:bodyDiv w:val="1"/>
      <w:marLeft w:val="0"/>
      <w:marRight w:val="0"/>
      <w:marTop w:val="0"/>
      <w:marBottom w:val="0"/>
      <w:divBdr>
        <w:top w:val="none" w:sz="0" w:space="0" w:color="auto"/>
        <w:left w:val="none" w:sz="0" w:space="0" w:color="auto"/>
        <w:bottom w:val="none" w:sz="0" w:space="0" w:color="auto"/>
        <w:right w:val="none" w:sz="0" w:space="0" w:color="auto"/>
      </w:divBdr>
    </w:div>
    <w:div w:id="1003044590">
      <w:bodyDiv w:val="1"/>
      <w:marLeft w:val="0"/>
      <w:marRight w:val="0"/>
      <w:marTop w:val="0"/>
      <w:marBottom w:val="0"/>
      <w:divBdr>
        <w:top w:val="none" w:sz="0" w:space="0" w:color="auto"/>
        <w:left w:val="none" w:sz="0" w:space="0" w:color="auto"/>
        <w:bottom w:val="none" w:sz="0" w:space="0" w:color="auto"/>
        <w:right w:val="none" w:sz="0" w:space="0" w:color="auto"/>
      </w:divBdr>
    </w:div>
    <w:div w:id="1023435221">
      <w:bodyDiv w:val="1"/>
      <w:marLeft w:val="0"/>
      <w:marRight w:val="0"/>
      <w:marTop w:val="0"/>
      <w:marBottom w:val="0"/>
      <w:divBdr>
        <w:top w:val="none" w:sz="0" w:space="0" w:color="auto"/>
        <w:left w:val="none" w:sz="0" w:space="0" w:color="auto"/>
        <w:bottom w:val="none" w:sz="0" w:space="0" w:color="auto"/>
        <w:right w:val="none" w:sz="0" w:space="0" w:color="auto"/>
      </w:divBdr>
    </w:div>
    <w:div w:id="1142388146">
      <w:bodyDiv w:val="1"/>
      <w:marLeft w:val="0"/>
      <w:marRight w:val="0"/>
      <w:marTop w:val="0"/>
      <w:marBottom w:val="0"/>
      <w:divBdr>
        <w:top w:val="none" w:sz="0" w:space="0" w:color="auto"/>
        <w:left w:val="none" w:sz="0" w:space="0" w:color="auto"/>
        <w:bottom w:val="none" w:sz="0" w:space="0" w:color="auto"/>
        <w:right w:val="none" w:sz="0" w:space="0" w:color="auto"/>
      </w:divBdr>
    </w:div>
    <w:div w:id="1156842645">
      <w:bodyDiv w:val="1"/>
      <w:marLeft w:val="0"/>
      <w:marRight w:val="0"/>
      <w:marTop w:val="0"/>
      <w:marBottom w:val="0"/>
      <w:divBdr>
        <w:top w:val="none" w:sz="0" w:space="0" w:color="auto"/>
        <w:left w:val="none" w:sz="0" w:space="0" w:color="auto"/>
        <w:bottom w:val="none" w:sz="0" w:space="0" w:color="auto"/>
        <w:right w:val="none" w:sz="0" w:space="0" w:color="auto"/>
      </w:divBdr>
    </w:div>
    <w:div w:id="1185560367">
      <w:bodyDiv w:val="1"/>
      <w:marLeft w:val="0"/>
      <w:marRight w:val="0"/>
      <w:marTop w:val="0"/>
      <w:marBottom w:val="0"/>
      <w:divBdr>
        <w:top w:val="none" w:sz="0" w:space="0" w:color="auto"/>
        <w:left w:val="none" w:sz="0" w:space="0" w:color="auto"/>
        <w:bottom w:val="none" w:sz="0" w:space="0" w:color="auto"/>
        <w:right w:val="none" w:sz="0" w:space="0" w:color="auto"/>
      </w:divBdr>
    </w:div>
    <w:div w:id="1207765934">
      <w:bodyDiv w:val="1"/>
      <w:marLeft w:val="0"/>
      <w:marRight w:val="0"/>
      <w:marTop w:val="0"/>
      <w:marBottom w:val="0"/>
      <w:divBdr>
        <w:top w:val="none" w:sz="0" w:space="0" w:color="auto"/>
        <w:left w:val="none" w:sz="0" w:space="0" w:color="auto"/>
        <w:bottom w:val="none" w:sz="0" w:space="0" w:color="auto"/>
        <w:right w:val="none" w:sz="0" w:space="0" w:color="auto"/>
      </w:divBdr>
    </w:div>
    <w:div w:id="1242258361">
      <w:bodyDiv w:val="1"/>
      <w:marLeft w:val="0"/>
      <w:marRight w:val="0"/>
      <w:marTop w:val="0"/>
      <w:marBottom w:val="0"/>
      <w:divBdr>
        <w:top w:val="none" w:sz="0" w:space="0" w:color="auto"/>
        <w:left w:val="none" w:sz="0" w:space="0" w:color="auto"/>
        <w:bottom w:val="none" w:sz="0" w:space="0" w:color="auto"/>
        <w:right w:val="none" w:sz="0" w:space="0" w:color="auto"/>
      </w:divBdr>
    </w:div>
    <w:div w:id="1256288590">
      <w:bodyDiv w:val="1"/>
      <w:marLeft w:val="0"/>
      <w:marRight w:val="0"/>
      <w:marTop w:val="0"/>
      <w:marBottom w:val="0"/>
      <w:divBdr>
        <w:top w:val="none" w:sz="0" w:space="0" w:color="auto"/>
        <w:left w:val="none" w:sz="0" w:space="0" w:color="auto"/>
        <w:bottom w:val="none" w:sz="0" w:space="0" w:color="auto"/>
        <w:right w:val="none" w:sz="0" w:space="0" w:color="auto"/>
      </w:divBdr>
    </w:div>
    <w:div w:id="1265772073">
      <w:bodyDiv w:val="1"/>
      <w:marLeft w:val="0"/>
      <w:marRight w:val="0"/>
      <w:marTop w:val="0"/>
      <w:marBottom w:val="0"/>
      <w:divBdr>
        <w:top w:val="none" w:sz="0" w:space="0" w:color="auto"/>
        <w:left w:val="none" w:sz="0" w:space="0" w:color="auto"/>
        <w:bottom w:val="none" w:sz="0" w:space="0" w:color="auto"/>
        <w:right w:val="none" w:sz="0" w:space="0" w:color="auto"/>
      </w:divBdr>
    </w:div>
    <w:div w:id="1357461499">
      <w:bodyDiv w:val="1"/>
      <w:marLeft w:val="0"/>
      <w:marRight w:val="0"/>
      <w:marTop w:val="0"/>
      <w:marBottom w:val="0"/>
      <w:divBdr>
        <w:top w:val="none" w:sz="0" w:space="0" w:color="auto"/>
        <w:left w:val="none" w:sz="0" w:space="0" w:color="auto"/>
        <w:bottom w:val="none" w:sz="0" w:space="0" w:color="auto"/>
        <w:right w:val="none" w:sz="0" w:space="0" w:color="auto"/>
      </w:divBdr>
    </w:div>
    <w:div w:id="1441409550">
      <w:bodyDiv w:val="1"/>
      <w:marLeft w:val="0"/>
      <w:marRight w:val="0"/>
      <w:marTop w:val="0"/>
      <w:marBottom w:val="0"/>
      <w:divBdr>
        <w:top w:val="none" w:sz="0" w:space="0" w:color="auto"/>
        <w:left w:val="none" w:sz="0" w:space="0" w:color="auto"/>
        <w:bottom w:val="none" w:sz="0" w:space="0" w:color="auto"/>
        <w:right w:val="none" w:sz="0" w:space="0" w:color="auto"/>
      </w:divBdr>
    </w:div>
    <w:div w:id="1468933702">
      <w:bodyDiv w:val="1"/>
      <w:marLeft w:val="0"/>
      <w:marRight w:val="0"/>
      <w:marTop w:val="0"/>
      <w:marBottom w:val="0"/>
      <w:divBdr>
        <w:top w:val="none" w:sz="0" w:space="0" w:color="auto"/>
        <w:left w:val="none" w:sz="0" w:space="0" w:color="auto"/>
        <w:bottom w:val="none" w:sz="0" w:space="0" w:color="auto"/>
        <w:right w:val="none" w:sz="0" w:space="0" w:color="auto"/>
      </w:divBdr>
    </w:div>
    <w:div w:id="1631478232">
      <w:bodyDiv w:val="1"/>
      <w:marLeft w:val="0"/>
      <w:marRight w:val="0"/>
      <w:marTop w:val="0"/>
      <w:marBottom w:val="0"/>
      <w:divBdr>
        <w:top w:val="none" w:sz="0" w:space="0" w:color="auto"/>
        <w:left w:val="none" w:sz="0" w:space="0" w:color="auto"/>
        <w:bottom w:val="none" w:sz="0" w:space="0" w:color="auto"/>
        <w:right w:val="none" w:sz="0" w:space="0" w:color="auto"/>
      </w:divBdr>
    </w:div>
    <w:div w:id="1649283876">
      <w:bodyDiv w:val="1"/>
      <w:marLeft w:val="0"/>
      <w:marRight w:val="0"/>
      <w:marTop w:val="0"/>
      <w:marBottom w:val="0"/>
      <w:divBdr>
        <w:top w:val="none" w:sz="0" w:space="0" w:color="auto"/>
        <w:left w:val="none" w:sz="0" w:space="0" w:color="auto"/>
        <w:bottom w:val="none" w:sz="0" w:space="0" w:color="auto"/>
        <w:right w:val="none" w:sz="0" w:space="0" w:color="auto"/>
      </w:divBdr>
    </w:div>
    <w:div w:id="1709720971">
      <w:bodyDiv w:val="1"/>
      <w:marLeft w:val="0"/>
      <w:marRight w:val="0"/>
      <w:marTop w:val="0"/>
      <w:marBottom w:val="0"/>
      <w:divBdr>
        <w:top w:val="none" w:sz="0" w:space="0" w:color="auto"/>
        <w:left w:val="none" w:sz="0" w:space="0" w:color="auto"/>
        <w:bottom w:val="none" w:sz="0" w:space="0" w:color="auto"/>
        <w:right w:val="none" w:sz="0" w:space="0" w:color="auto"/>
      </w:divBdr>
    </w:div>
    <w:div w:id="1720519689">
      <w:bodyDiv w:val="1"/>
      <w:marLeft w:val="0"/>
      <w:marRight w:val="0"/>
      <w:marTop w:val="0"/>
      <w:marBottom w:val="0"/>
      <w:divBdr>
        <w:top w:val="none" w:sz="0" w:space="0" w:color="auto"/>
        <w:left w:val="none" w:sz="0" w:space="0" w:color="auto"/>
        <w:bottom w:val="none" w:sz="0" w:space="0" w:color="auto"/>
        <w:right w:val="none" w:sz="0" w:space="0" w:color="auto"/>
      </w:divBdr>
    </w:div>
    <w:div w:id="1763404928">
      <w:bodyDiv w:val="1"/>
      <w:marLeft w:val="0"/>
      <w:marRight w:val="0"/>
      <w:marTop w:val="0"/>
      <w:marBottom w:val="0"/>
      <w:divBdr>
        <w:top w:val="none" w:sz="0" w:space="0" w:color="auto"/>
        <w:left w:val="none" w:sz="0" w:space="0" w:color="auto"/>
        <w:bottom w:val="none" w:sz="0" w:space="0" w:color="auto"/>
        <w:right w:val="none" w:sz="0" w:space="0" w:color="auto"/>
      </w:divBdr>
    </w:div>
    <w:div w:id="1801457232">
      <w:bodyDiv w:val="1"/>
      <w:marLeft w:val="0"/>
      <w:marRight w:val="0"/>
      <w:marTop w:val="0"/>
      <w:marBottom w:val="0"/>
      <w:divBdr>
        <w:top w:val="none" w:sz="0" w:space="0" w:color="auto"/>
        <w:left w:val="none" w:sz="0" w:space="0" w:color="auto"/>
        <w:bottom w:val="none" w:sz="0" w:space="0" w:color="auto"/>
        <w:right w:val="none" w:sz="0" w:space="0" w:color="auto"/>
      </w:divBdr>
    </w:div>
    <w:div w:id="1833249881">
      <w:bodyDiv w:val="1"/>
      <w:marLeft w:val="0"/>
      <w:marRight w:val="0"/>
      <w:marTop w:val="0"/>
      <w:marBottom w:val="0"/>
      <w:divBdr>
        <w:top w:val="none" w:sz="0" w:space="0" w:color="auto"/>
        <w:left w:val="none" w:sz="0" w:space="0" w:color="auto"/>
        <w:bottom w:val="none" w:sz="0" w:space="0" w:color="auto"/>
        <w:right w:val="none" w:sz="0" w:space="0" w:color="auto"/>
      </w:divBdr>
    </w:div>
    <w:div w:id="1835413603">
      <w:bodyDiv w:val="1"/>
      <w:marLeft w:val="0"/>
      <w:marRight w:val="0"/>
      <w:marTop w:val="0"/>
      <w:marBottom w:val="0"/>
      <w:divBdr>
        <w:top w:val="none" w:sz="0" w:space="0" w:color="auto"/>
        <w:left w:val="none" w:sz="0" w:space="0" w:color="auto"/>
        <w:bottom w:val="none" w:sz="0" w:space="0" w:color="auto"/>
        <w:right w:val="none" w:sz="0" w:space="0" w:color="auto"/>
      </w:divBdr>
    </w:div>
    <w:div w:id="1870490916">
      <w:bodyDiv w:val="1"/>
      <w:marLeft w:val="0"/>
      <w:marRight w:val="0"/>
      <w:marTop w:val="0"/>
      <w:marBottom w:val="0"/>
      <w:divBdr>
        <w:top w:val="none" w:sz="0" w:space="0" w:color="auto"/>
        <w:left w:val="none" w:sz="0" w:space="0" w:color="auto"/>
        <w:bottom w:val="none" w:sz="0" w:space="0" w:color="auto"/>
        <w:right w:val="none" w:sz="0" w:space="0" w:color="auto"/>
      </w:divBdr>
    </w:div>
    <w:div w:id="1874413921">
      <w:bodyDiv w:val="1"/>
      <w:marLeft w:val="0"/>
      <w:marRight w:val="0"/>
      <w:marTop w:val="0"/>
      <w:marBottom w:val="0"/>
      <w:divBdr>
        <w:top w:val="none" w:sz="0" w:space="0" w:color="auto"/>
        <w:left w:val="none" w:sz="0" w:space="0" w:color="auto"/>
        <w:bottom w:val="none" w:sz="0" w:space="0" w:color="auto"/>
        <w:right w:val="none" w:sz="0" w:space="0" w:color="auto"/>
      </w:divBdr>
    </w:div>
    <w:div w:id="1912618753">
      <w:bodyDiv w:val="1"/>
      <w:marLeft w:val="0"/>
      <w:marRight w:val="0"/>
      <w:marTop w:val="0"/>
      <w:marBottom w:val="0"/>
      <w:divBdr>
        <w:top w:val="none" w:sz="0" w:space="0" w:color="auto"/>
        <w:left w:val="none" w:sz="0" w:space="0" w:color="auto"/>
        <w:bottom w:val="none" w:sz="0" w:space="0" w:color="auto"/>
        <w:right w:val="none" w:sz="0" w:space="0" w:color="auto"/>
      </w:divBdr>
    </w:div>
    <w:div w:id="1924753707">
      <w:bodyDiv w:val="1"/>
      <w:marLeft w:val="0"/>
      <w:marRight w:val="0"/>
      <w:marTop w:val="0"/>
      <w:marBottom w:val="0"/>
      <w:divBdr>
        <w:top w:val="none" w:sz="0" w:space="0" w:color="auto"/>
        <w:left w:val="none" w:sz="0" w:space="0" w:color="auto"/>
        <w:bottom w:val="none" w:sz="0" w:space="0" w:color="auto"/>
        <w:right w:val="none" w:sz="0" w:space="0" w:color="auto"/>
      </w:divBdr>
    </w:div>
    <w:div w:id="1947499622">
      <w:bodyDiv w:val="1"/>
      <w:marLeft w:val="0"/>
      <w:marRight w:val="0"/>
      <w:marTop w:val="0"/>
      <w:marBottom w:val="0"/>
      <w:divBdr>
        <w:top w:val="none" w:sz="0" w:space="0" w:color="auto"/>
        <w:left w:val="none" w:sz="0" w:space="0" w:color="auto"/>
        <w:bottom w:val="none" w:sz="0" w:space="0" w:color="auto"/>
        <w:right w:val="none" w:sz="0" w:space="0" w:color="auto"/>
      </w:divBdr>
    </w:div>
    <w:div w:id="1996911287">
      <w:bodyDiv w:val="1"/>
      <w:marLeft w:val="0"/>
      <w:marRight w:val="0"/>
      <w:marTop w:val="0"/>
      <w:marBottom w:val="0"/>
      <w:divBdr>
        <w:top w:val="none" w:sz="0" w:space="0" w:color="auto"/>
        <w:left w:val="none" w:sz="0" w:space="0" w:color="auto"/>
        <w:bottom w:val="none" w:sz="0" w:space="0" w:color="auto"/>
        <w:right w:val="none" w:sz="0" w:space="0" w:color="auto"/>
      </w:divBdr>
    </w:div>
    <w:div w:id="2094742071">
      <w:bodyDiv w:val="1"/>
      <w:marLeft w:val="0"/>
      <w:marRight w:val="0"/>
      <w:marTop w:val="0"/>
      <w:marBottom w:val="0"/>
      <w:divBdr>
        <w:top w:val="none" w:sz="0" w:space="0" w:color="auto"/>
        <w:left w:val="none" w:sz="0" w:space="0" w:color="auto"/>
        <w:bottom w:val="none" w:sz="0" w:space="0" w:color="auto"/>
        <w:right w:val="none" w:sz="0" w:space="0" w:color="auto"/>
      </w:divBdr>
    </w:div>
    <w:div w:id="214121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0.jpg"/><Relationship Id="rId26" Type="http://schemas.openxmlformats.org/officeDocument/2006/relationships/image" Target="media/image10.jpg"/><Relationship Id="rId39" Type="http://schemas.openxmlformats.org/officeDocument/2006/relationships/chart" Target="charts/chart11.xml"/><Relationship Id="rId21" Type="http://schemas.openxmlformats.org/officeDocument/2006/relationships/chart" Target="charts/chart3.xml"/><Relationship Id="rId34" Type="http://schemas.openxmlformats.org/officeDocument/2006/relationships/chart" Target="charts/chart8.xml"/><Relationship Id="rId42" Type="http://schemas.openxmlformats.org/officeDocument/2006/relationships/image" Target="media/image130.jpg"/><Relationship Id="rId47" Type="http://schemas.openxmlformats.org/officeDocument/2006/relationships/chart" Target="charts/chart15.xml"/><Relationship Id="rId50" Type="http://schemas.openxmlformats.org/officeDocument/2006/relationships/image" Target="media/image150.jpg"/><Relationship Id="rId55" Type="http://schemas.openxmlformats.org/officeDocument/2006/relationships/image" Target="media/image160.jpg"/><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33.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00.jpg"/><Relationship Id="rId11" Type="http://schemas.openxmlformats.org/officeDocument/2006/relationships/image" Target="media/image4.png"/><Relationship Id="rId24" Type="http://schemas.openxmlformats.org/officeDocument/2006/relationships/image" Target="media/image80.jpg"/><Relationship Id="rId32" Type="http://schemas.openxmlformats.org/officeDocument/2006/relationships/image" Target="media/image110.jpg"/><Relationship Id="rId37" Type="http://schemas.openxmlformats.org/officeDocument/2006/relationships/image" Target="media/image13.jpg"/><Relationship Id="rId40" Type="http://schemas.openxmlformats.org/officeDocument/2006/relationships/chart" Target="charts/chart12.xml"/><Relationship Id="rId45" Type="http://schemas.openxmlformats.org/officeDocument/2006/relationships/image" Target="media/image140.jpg"/><Relationship Id="rId53" Type="http://schemas.openxmlformats.org/officeDocument/2006/relationships/chart" Target="charts/chart19.xml"/><Relationship Id="rId58" Type="http://schemas.openxmlformats.org/officeDocument/2006/relationships/chart" Target="charts/chart22.xml"/><Relationship Id="rId66" Type="http://schemas.openxmlformats.org/officeDocument/2006/relationships/chart" Target="charts/chart28.xml"/><Relationship Id="rId74" Type="http://schemas.openxmlformats.org/officeDocument/2006/relationships/chart" Target="charts/chart36.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chart" Target="charts/chart10.xml"/><Relationship Id="rId49" Type="http://schemas.openxmlformats.org/officeDocument/2006/relationships/image" Target="media/image16.jpg"/><Relationship Id="rId57" Type="http://schemas.openxmlformats.org/officeDocument/2006/relationships/chart" Target="charts/chart21.xml"/><Relationship Id="rId61"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2.jpg"/><Relationship Id="rId44" Type="http://schemas.openxmlformats.org/officeDocument/2006/relationships/image" Target="media/image15.jpg"/><Relationship Id="rId52" Type="http://schemas.openxmlformats.org/officeDocument/2006/relationships/chart" Target="charts/chart18.xml"/><Relationship Id="rId60" Type="http://schemas.openxmlformats.org/officeDocument/2006/relationships/chart" Target="charts/chart24.xml"/><Relationship Id="rId65" Type="http://schemas.openxmlformats.org/officeDocument/2006/relationships/chart" Target="charts/chart27.xml"/><Relationship Id="rId73" Type="http://schemas.openxmlformats.org/officeDocument/2006/relationships/chart" Target="charts/chart35.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90.jpg"/><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chart" Target="charts/chart16.xml"/><Relationship Id="rId56" Type="http://schemas.openxmlformats.org/officeDocument/2006/relationships/chart" Target="charts/chart20.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chart" Target="charts/chart34.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chart" Target="charts/chart5.xml"/><Relationship Id="rId33" Type="http://schemas.openxmlformats.org/officeDocument/2006/relationships/chart" Target="charts/chart7.xml"/><Relationship Id="rId38" Type="http://schemas.openxmlformats.org/officeDocument/2006/relationships/image" Target="media/image120.jpg"/><Relationship Id="rId46" Type="http://schemas.openxmlformats.org/officeDocument/2006/relationships/chart" Target="charts/chart14.xml"/><Relationship Id="rId59" Type="http://schemas.openxmlformats.org/officeDocument/2006/relationships/chart" Target="charts/chart23.xml"/><Relationship Id="rId67" Type="http://schemas.openxmlformats.org/officeDocument/2006/relationships/chart" Target="charts/chart29.xml"/><Relationship Id="rId20" Type="http://schemas.openxmlformats.org/officeDocument/2006/relationships/chart" Target="charts/chart2.xml"/><Relationship Id="rId41" Type="http://schemas.openxmlformats.org/officeDocument/2006/relationships/image" Target="media/image14.jpg"/><Relationship Id="rId54" Type="http://schemas.openxmlformats.org/officeDocument/2006/relationships/image" Target="media/image17.jpg"/><Relationship Id="rId62" Type="http://schemas.openxmlformats.org/officeDocument/2006/relationships/image" Target="media/image170.jpg"/><Relationship Id="rId70" Type="http://schemas.openxmlformats.org/officeDocument/2006/relationships/chart" Target="charts/chart32.xml"/><Relationship Id="rId75"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Përmirësimi i infrastrukturës në kopshte/shkolla</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19.23</c:v>
                </c:pt>
                <c:pt idx="1">
                  <c:v>19.23</c:v>
                </c:pt>
                <c:pt idx="2">
                  <c:v>23.08</c:v>
                </c:pt>
                <c:pt idx="3">
                  <c:v>74.069999999999993</c:v>
                </c:pt>
                <c:pt idx="4">
                  <c:v>76.92</c:v>
                </c:pt>
                <c:pt idx="5">
                  <c:v>76.92</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Fikese zjarri te kolauduara dhe te vendosura ne institucioine</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64</c:v>
                </c:pt>
                <c:pt idx="1">
                  <c:v>64</c:v>
                </c:pt>
                <c:pt idx="2">
                  <c:v>64</c:v>
                </c:pt>
                <c:pt idx="3">
                  <c:v>70</c:v>
                </c:pt>
                <c:pt idx="4">
                  <c:v>70</c:v>
                </c:pt>
                <c:pt idx="5">
                  <c:v>75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Fondi buxhetor për invaliditetin dhe paaftësinë në lekë</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141822480</c:v>
                </c:pt>
                <c:pt idx="1">
                  <c:v>0</c:v>
                </c:pt>
                <c:pt idx="2">
                  <c:v>133969000</c:v>
                </c:pt>
                <c:pt idx="3">
                  <c:v>134600000</c:v>
                </c:pt>
                <c:pt idx="4">
                  <c:v>135500000</c:v>
                </c:pt>
                <c:pt idx="5">
                  <c:v>135500000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Numër personash të asistuar me pagesë invaliditeti dhe paaftësie</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688</c:v>
                </c:pt>
                <c:pt idx="1">
                  <c:v>904</c:v>
                </c:pt>
                <c:pt idx="2">
                  <c:v>492</c:v>
                </c:pt>
                <c:pt idx="3">
                  <c:v>495</c:v>
                </c:pt>
                <c:pt idx="4">
                  <c:v>495</c:v>
                </c:pt>
                <c:pt idx="5">
                  <c:v>495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Rritja e mbulimit me shërbimin e ujit të pijshëm</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34.159999999999997</c:v>
                </c:pt>
                <c:pt idx="1">
                  <c:v>52.34</c:v>
                </c:pt>
                <c:pt idx="2">
                  <c:v>34.21</c:v>
                </c:pt>
                <c:pt idx="3">
                  <c:v>34.119999999999997</c:v>
                </c:pt>
                <c:pt idx="4">
                  <c:v>34.119999999999997</c:v>
                </c:pt>
                <c:pt idx="5">
                  <c:v>34.119999999999997</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Rritja e kapacitetit të punonjësve të bashkisë</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29.13</c:v>
                </c:pt>
                <c:pt idx="1">
                  <c:v>33.979999999999997</c:v>
                </c:pt>
                <c:pt idx="2">
                  <c:v>47.62</c:v>
                </c:pt>
                <c:pt idx="3">
                  <c:v>47.17</c:v>
                </c:pt>
                <c:pt idx="4">
                  <c:v>51.89</c:v>
                </c:pt>
                <c:pt idx="5">
                  <c:v>56.6</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total i punonjësve të policisë bashkiake</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6</c:v>
                </c:pt>
                <c:pt idx="1">
                  <c:v>6</c:v>
                </c:pt>
                <c:pt idx="2">
                  <c:v>6</c:v>
                </c:pt>
                <c:pt idx="3">
                  <c:v>7</c:v>
                </c:pt>
                <c:pt idx="4">
                  <c:v>7</c:v>
                </c:pt>
                <c:pt idx="5">
                  <c:v>7</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Te ardhurat e veta (realizimi faktik vjetor)</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18231000</c:v>
                </c:pt>
                <c:pt idx="1">
                  <c:v>17804000</c:v>
                </c:pt>
                <c:pt idx="2">
                  <c:v>30000000</c:v>
                </c:pt>
                <c:pt idx="3">
                  <c:v>45230000</c:v>
                </c:pt>
                <c:pt idx="4">
                  <c:v>45238000</c:v>
                </c:pt>
                <c:pt idx="5">
                  <c:v>45246000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Mbulimi me hapësira të gjelbërta</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9.57</c:v>
                </c:pt>
                <c:pt idx="1">
                  <c:v>9.58</c:v>
                </c:pt>
                <c:pt idx="2">
                  <c:v>9.58</c:v>
                </c:pt>
                <c:pt idx="3">
                  <c:v>9.56</c:v>
                </c:pt>
                <c:pt idx="4">
                  <c:v>9.56</c:v>
                </c:pt>
                <c:pt idx="5">
                  <c:v>9.56</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Rritja e sipërfaqes publike të mbuluar me ndriçim</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8.06</c:v>
                </c:pt>
                <c:pt idx="1">
                  <c:v>13.44</c:v>
                </c:pt>
                <c:pt idx="2">
                  <c:v>16.13</c:v>
                </c:pt>
                <c:pt idx="3">
                  <c:v>16.13</c:v>
                </c:pt>
                <c:pt idx="4">
                  <c:v>16.13</c:v>
                </c:pt>
                <c:pt idx="5">
                  <c:v>18.809999999999999</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Të ardhura nga tarifa e gjelbërimit (në lekë)</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111445</c:v>
                </c:pt>
                <c:pt idx="1">
                  <c:v>146000</c:v>
                </c:pt>
                <c:pt idx="2">
                  <c:v>500000</c:v>
                </c:pt>
                <c:pt idx="3">
                  <c:v>1700000</c:v>
                </c:pt>
                <c:pt idx="4">
                  <c:v>1702000</c:v>
                </c:pt>
                <c:pt idx="5">
                  <c:v>1704000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i fëmijëve të regjistruar në sistemin parashkollor</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25</c:v>
                </c:pt>
                <c:pt idx="1">
                  <c:v>21</c:v>
                </c:pt>
                <c:pt idx="2">
                  <c:v>210</c:v>
                </c:pt>
                <c:pt idx="3">
                  <c:v>139</c:v>
                </c:pt>
                <c:pt idx="4">
                  <c:v>210</c:v>
                </c:pt>
                <c:pt idx="5">
                  <c:v>210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Përmirësimi i  rrjetit rrugor qytetas dhe ndërqytetas</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20</c:v>
                </c:pt>
                <c:pt idx="1">
                  <c:v>33.33</c:v>
                </c:pt>
                <c:pt idx="2">
                  <c:v>26.67</c:v>
                </c:pt>
                <c:pt idx="3">
                  <c:v>30</c:v>
                </c:pt>
                <c:pt idx="4">
                  <c:v>30</c:v>
                </c:pt>
                <c:pt idx="5">
                  <c:v>0</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Mirëmbajtja e rrjetit rrugor</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86.67</c:v>
                </c:pt>
                <c:pt idx="1">
                  <c:v>100</c:v>
                </c:pt>
                <c:pt idx="2">
                  <c:v>20</c:v>
                </c:pt>
                <c:pt idx="3">
                  <c:v>23.33</c:v>
                </c:pt>
                <c:pt idx="4">
                  <c:v>23.33</c:v>
                </c:pt>
                <c:pt idx="5">
                  <c:v>23.33</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Gjatësia në km e rrjetit rrugor të shtruar (asfaltuar ose me çakull) në vit </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30</c:v>
                </c:pt>
                <c:pt idx="1">
                  <c:v>50</c:v>
                </c:pt>
                <c:pt idx="2">
                  <c:v>40</c:v>
                </c:pt>
                <c:pt idx="3">
                  <c:v>45</c:v>
                </c:pt>
                <c:pt idx="4">
                  <c:v>45</c:v>
                </c:pt>
                <c:pt idx="5">
                  <c:v>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Gjatësia në km e rrjetit rrugor të mirëmbajtur në vit</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130</c:v>
                </c:pt>
                <c:pt idx="1">
                  <c:v>150</c:v>
                </c:pt>
                <c:pt idx="2">
                  <c:v>30</c:v>
                </c:pt>
                <c:pt idx="3">
                  <c:v>35</c:v>
                </c:pt>
                <c:pt idx="4">
                  <c:v>35</c:v>
                </c:pt>
                <c:pt idx="5">
                  <c:v>35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Ura të mirëmbajtura</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5</c:v>
                </c:pt>
                <c:pt idx="1">
                  <c:v>6</c:v>
                </c:pt>
                <c:pt idx="2">
                  <c:v>7</c:v>
                </c:pt>
                <c:pt idx="3">
                  <c:v>8</c:v>
                </c:pt>
                <c:pt idx="4">
                  <c:v>8</c:v>
                </c:pt>
                <c:pt idx="5">
                  <c:v>8</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i shfaqeve kulturore; evente artistike të mbështetura me fondet e bashkisë</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3</c:v>
                </c:pt>
                <c:pt idx="1">
                  <c:v>10</c:v>
                </c:pt>
                <c:pt idx="2">
                  <c:v>12</c:v>
                </c:pt>
                <c:pt idx="3">
                  <c:v>15</c:v>
                </c:pt>
                <c:pt idx="4">
                  <c:v>15</c:v>
                </c:pt>
                <c:pt idx="5">
                  <c:v>15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Aktivitete për edukimin e brezit të ri</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20</c:v>
                </c:pt>
                <c:pt idx="1">
                  <c:v>40</c:v>
                </c:pt>
                <c:pt idx="2">
                  <c:v>40</c:v>
                </c:pt>
                <c:pt idx="3">
                  <c:v>40</c:v>
                </c:pt>
                <c:pt idx="4">
                  <c:v>40</c:v>
                </c:pt>
                <c:pt idx="5">
                  <c:v>40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total i punonjësve të policisë bashkiake</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6</c:v>
                </c:pt>
                <c:pt idx="1">
                  <c:v>6</c:v>
                </c:pt>
                <c:pt idx="2">
                  <c:v>6</c:v>
                </c:pt>
                <c:pt idx="3">
                  <c:v>7</c:v>
                </c:pt>
                <c:pt idx="4">
                  <c:v>7</c:v>
                </c:pt>
                <c:pt idx="5">
                  <c:v>7</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Rritja e kapacitetit të punonjësve të bashkisë</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29.13</c:v>
                </c:pt>
                <c:pt idx="1">
                  <c:v>33.979999999999997</c:v>
                </c:pt>
                <c:pt idx="2">
                  <c:v>47.62</c:v>
                </c:pt>
                <c:pt idx="3">
                  <c:v>47.17</c:v>
                </c:pt>
                <c:pt idx="4">
                  <c:v>51.89</c:v>
                </c:pt>
                <c:pt idx="5">
                  <c:v>56.6</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Te ardhurat e veta</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18231</c:v>
                </c:pt>
                <c:pt idx="1">
                  <c:v>17804.042999999998</c:v>
                </c:pt>
                <c:pt idx="2">
                  <c:v>30000</c:v>
                </c:pt>
                <c:pt idx="3">
                  <c:v>45230</c:v>
                </c:pt>
                <c:pt idx="4">
                  <c:v>45238</c:v>
                </c:pt>
                <c:pt idx="5">
                  <c:v>45246</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i mësuesve në sistemin e arsimit parashkollor</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5</c:v>
                </c:pt>
                <c:pt idx="1">
                  <c:v>5</c:v>
                </c:pt>
                <c:pt idx="2">
                  <c:v>30</c:v>
                </c:pt>
                <c:pt idx="3">
                  <c:v>31</c:v>
                </c:pt>
                <c:pt idx="4">
                  <c:v>30</c:v>
                </c:pt>
                <c:pt idx="5">
                  <c:v>30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Te ardhura nga taksa e pasurise</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5260</c:v>
                </c:pt>
                <c:pt idx="1">
                  <c:v>4338</c:v>
                </c:pt>
                <c:pt idx="2">
                  <c:v>9080</c:v>
                </c:pt>
                <c:pt idx="3">
                  <c:v>9400</c:v>
                </c:pt>
                <c:pt idx="4">
                  <c:v>9400</c:v>
                </c:pt>
                <c:pt idx="5">
                  <c:v>9400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Te ardhura per fryme</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0.91</c:v>
                </c:pt>
                <c:pt idx="1">
                  <c:v>0.89</c:v>
                </c:pt>
                <c:pt idx="2">
                  <c:v>2.2799999999999998</c:v>
                </c:pt>
                <c:pt idx="3">
                  <c:v>2.2400000000000002</c:v>
                </c:pt>
                <c:pt idx="4">
                  <c:v>2.25</c:v>
                </c:pt>
                <c:pt idx="5">
                  <c:v>2.25</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Te ardhurat nga taksa e pasurise ne raport me te ardhurat vendore</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0.28999999999999998</c:v>
                </c:pt>
                <c:pt idx="1">
                  <c:v>0.24</c:v>
                </c:pt>
                <c:pt idx="2">
                  <c:v>0.3</c:v>
                </c:pt>
                <c:pt idx="3">
                  <c:v>0.21</c:v>
                </c:pt>
                <c:pt idx="4">
                  <c:v>0.21</c:v>
                </c:pt>
                <c:pt idx="5">
                  <c:v>0.21</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Buxheti Total Fakt</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261833</c:v>
                </c:pt>
                <c:pt idx="1">
                  <c:v>358860</c:v>
                </c:pt>
                <c:pt idx="2">
                  <c:v>178543</c:v>
                </c:pt>
                <c:pt idx="3">
                  <c:v>500000</c:v>
                </c:pt>
                <c:pt idx="4">
                  <c:v>300000</c:v>
                </c:pt>
                <c:pt idx="5">
                  <c:v>305000</c:v>
                </c:pt>
              </c:numCache>
            </c:numRef>
          </c:val>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Buxheti për frymë (në lekë)</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13.01</c:v>
                </c:pt>
                <c:pt idx="1">
                  <c:v>17.850000000000001</c:v>
                </c:pt>
                <c:pt idx="2">
                  <c:v>13.56</c:v>
                </c:pt>
                <c:pt idx="3">
                  <c:v>24.81</c:v>
                </c:pt>
                <c:pt idx="4">
                  <c:v>14.89</c:v>
                </c:pt>
                <c:pt idx="5">
                  <c:v>15.14</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Pesha e personelit në buxhet</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0.46</c:v>
                </c:pt>
                <c:pt idx="1">
                  <c:v>0.34</c:v>
                </c:pt>
                <c:pt idx="2">
                  <c:v>0.72</c:v>
                </c:pt>
                <c:pt idx="3">
                  <c:v>0.28999999999999998</c:v>
                </c:pt>
                <c:pt idx="4">
                  <c:v>0.5</c:v>
                </c:pt>
                <c:pt idx="5">
                  <c:v>0.5</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Pesha e shpenzimeve operacionale në buxhet</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0.16</c:v>
                </c:pt>
                <c:pt idx="1">
                  <c:v>0.11</c:v>
                </c:pt>
                <c:pt idx="2">
                  <c:v>0.49</c:v>
                </c:pt>
                <c:pt idx="3">
                  <c:v>0.14000000000000001</c:v>
                </c:pt>
                <c:pt idx="4">
                  <c:v>0.23</c:v>
                </c:pt>
                <c:pt idx="5">
                  <c:v>0.23</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Pesha e detyrimeve financiare të papaguara ndaj të tretëve (%)</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c:v>
                </c:pt>
                <c:pt idx="1">
                  <c:v>0</c:v>
                </c:pt>
                <c:pt idx="2">
                  <c:v>8753.18</c:v>
                </c:pt>
                <c:pt idx="3">
                  <c:v>3125.64</c:v>
                </c:pt>
                <c:pt idx="4">
                  <c:v>5209.3999999999996</c:v>
                </c:pt>
                <c:pt idx="5">
                  <c:v>5124</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Nxënës të regjistruar në arsimin 9-vjeçar</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840</c:v>
                </c:pt>
                <c:pt idx="1">
                  <c:v>631</c:v>
                </c:pt>
                <c:pt idx="2">
                  <c:v>497</c:v>
                </c:pt>
                <c:pt idx="3">
                  <c:v>497</c:v>
                </c:pt>
                <c:pt idx="4">
                  <c:v>497</c:v>
                </c:pt>
                <c:pt idx="5">
                  <c:v>497</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Nxënës të regjistruar në sistemin e arsimit të mesëm</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240</c:v>
                </c:pt>
                <c:pt idx="1">
                  <c:v>261</c:v>
                </c:pt>
                <c:pt idx="2">
                  <c:v>591</c:v>
                </c:pt>
                <c:pt idx="3">
                  <c:v>591</c:v>
                </c:pt>
                <c:pt idx="4">
                  <c:v>591</c:v>
                </c:pt>
                <c:pt idx="5">
                  <c:v>591</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1"/>
    </c:title>
    <c:autoTitleDeleted val="0"/>
    <c:plotArea>
      <c:layout/>
      <c:lineChart>
        <c:grouping val="standard"/>
        <c:varyColors val="0"/>
        <c:ser>
          <c:idx val="0"/>
          <c:order val="0"/>
          <c:tx>
            <c:strRef>
              <c:f>Sheet1!$B$1</c:f>
              <c:strCache>
                <c:ptCount val="1"/>
                <c:pt idx="0">
                  <c:v>Rritja e monitorimit të fondit pyjor dhe kullosor</c:v>
                </c:pt>
              </c:strCache>
            </c:strRef>
          </c:tx>
          <c:spPr>
            <a:ln w="28575" cap="rnd">
              <a:solidFill>
                <a:srgbClr val="5B9BD5"/>
              </a:solidFill>
              <a:round/>
            </a:ln>
            <a:effectLst/>
          </c:spPr>
          <c:marker>
            <c:symbol val="none"/>
          </c:marker>
          <c:cat>
            <c:strRef>
              <c:f>Sheet1!$A$2:$A$8</c:f>
              <c:strCache>
                <c:ptCount val="6"/>
                <c:pt idx="0">
                  <c:v>Viti 2021</c:v>
                </c:pt>
                <c:pt idx="1">
                  <c:v>Viti 2022</c:v>
                </c:pt>
                <c:pt idx="2">
                  <c:v>Viti 2023</c:v>
                </c:pt>
                <c:pt idx="3">
                  <c:v>Viti 2024</c:v>
                </c:pt>
                <c:pt idx="4">
                  <c:v>Viti 2025</c:v>
                </c:pt>
                <c:pt idx="5">
                  <c:v>Viti 2026</c:v>
                </c:pt>
              </c:strCache>
            </c:strRef>
          </c:cat>
          <c:val>
            <c:numRef>
              <c:f>Sheet1!$B$2:$B$7</c:f>
              <c:numCache>
                <c:formatCode>General</c:formatCode>
                <c:ptCount val="6"/>
                <c:pt idx="0">
                  <c:v>0.19</c:v>
                </c:pt>
                <c:pt idx="1">
                  <c:v>0.19</c:v>
                </c:pt>
                <c:pt idx="2">
                  <c:v>0.23</c:v>
                </c:pt>
                <c:pt idx="3">
                  <c:v>0.23</c:v>
                </c:pt>
                <c:pt idx="4">
                  <c:v>0.23</c:v>
                </c:pt>
                <c:pt idx="5">
                  <c:v>0.23</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4DFD-4B95-BC23-116FD62212BE}"/>
            </c:ext>
          </c:extLst>
        </c:ser>
        <c:dLbls>
          <c:showLegendKey val="0"/>
          <c:showVal val="0"/>
          <c:showCatName val="0"/>
          <c:showSerName val="0"/>
          <c:showPercent val="0"/>
          <c:showBubbleSize val="0"/>
        </c:dLbls>
        <c:smooth val="0"/>
        <c:axId val="357670664"/>
        <c:axId val="357665088"/>
      </c:lineChart>
      <c:catAx>
        <c:axId val="3576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65088"/>
        <c:crosses val="autoZero"/>
        <c:auto val="1"/>
        <c:lblAlgn val="ctr"/>
        <c:lblOffset val="100"/>
        <c:noMultiLvlLbl val="0"/>
      </c:catAx>
      <c:valAx>
        <c:axId val="3576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6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Numri total i popullsisë</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20128</c:v>
                </c:pt>
                <c:pt idx="1">
                  <c:v>20100</c:v>
                </c:pt>
                <c:pt idx="2">
                  <c:v>20100</c:v>
                </c:pt>
                <c:pt idx="3">
                  <c:v>20150</c:v>
                </c:pt>
                <c:pt idx="4">
                  <c:v>20150</c:v>
                </c:pt>
                <c:pt idx="5">
                  <c:v>20150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Total shpenzime për mzsh (në lekë)</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12289000</c:v>
                </c:pt>
                <c:pt idx="1">
                  <c:v>13038480</c:v>
                </c:pt>
                <c:pt idx="2">
                  <c:v>13467000</c:v>
                </c:pt>
                <c:pt idx="3">
                  <c:v>13858000</c:v>
                </c:pt>
                <c:pt idx="4">
                  <c:v>13940000</c:v>
                </c:pt>
                <c:pt idx="5">
                  <c:v>14000000</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Raste të menaxhuara për shuarjen e zjarrit dhe shpëtimit nga MZSH</c:v>
                </c:pt>
              </c:strCache>
            </c:strRef>
          </c:tx>
          <c:spPr>
            <a:solidFill>
              <a:srgbClr val="5B9BD5"/>
            </a:solidFill>
            <a:ln>
              <a:solidFill>
                <a:srgbClr val="FFFFFF"/>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6"/>
                <c:pt idx="0">
                  <c:v>Viti 2021</c:v>
                </c:pt>
                <c:pt idx="1">
                  <c:v>Viti 2022</c:v>
                </c:pt>
                <c:pt idx="2">
                  <c:v>Viti 2023</c:v>
                </c:pt>
                <c:pt idx="3">
                  <c:v>Viti 2024</c:v>
                </c:pt>
                <c:pt idx="4">
                  <c:v>Viti 2025</c:v>
                </c:pt>
                <c:pt idx="5">
                  <c:v>Viti 2026</c:v>
                </c:pt>
              </c:strCache>
            </c:strRef>
          </c:cat>
          <c:val>
            <c:numRef>
              <c:f>Sheet1!$B$2:$B$5</c:f>
              <c:numCache>
                <c:formatCode>General</c:formatCode>
                <c:ptCount val="6"/>
                <c:pt idx="0">
                  <c:v>31</c:v>
                </c:pt>
                <c:pt idx="1">
                  <c:v>57</c:v>
                </c:pt>
                <c:pt idx="2">
                  <c:v>50</c:v>
                </c:pt>
                <c:pt idx="3">
                  <c:v>50</c:v>
                </c:pt>
                <c:pt idx="4">
                  <c:v>45</c:v>
                </c:pt>
                <c:pt idx="5">
                  <c:v>45</c:v>
                </c:pt>
              </c:numCache>
            </c:numRef>
          </c:val>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C62-407C-9563-058FFB036A79}"/>
            </c:ext>
          </c:extLst>
        </c:ser>
        <c:dLbls>
          <c:showLegendKey val="0"/>
          <c:showVal val="1"/>
          <c:showCatName val="0"/>
          <c:showSerName val="0"/>
          <c:showPercent val="0"/>
          <c:showBubbleSize val="0"/>
        </c:dLbls>
        <c:gapWidth val="219"/>
        <c:overlap val="-27"/>
        <c:axId val="451812912"/>
        <c:axId val="451815536"/>
      </c:barChart>
      <c:catAx>
        <c:axId val="4518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5536"/>
        <c:crosses val="autoZero"/>
        <c:auto val="1"/>
        <c:lblAlgn val="ctr"/>
        <c:lblOffset val="100"/>
        <c:noMultiLvlLbl val="0"/>
      </c:catAx>
      <c:valAx>
        <c:axId val="4518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81E111-1B68-4226-B1D8-0687EA15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14004</Words>
  <Characters>79823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Endri Xh;Denisa Canaj</dc:creator>
  <cp:keywords/>
  <dc:description/>
  <cp:lastModifiedBy>Smart</cp:lastModifiedBy>
  <cp:revision>4</cp:revision>
  <dcterms:created xsi:type="dcterms:W3CDTF">2025-11-12T15:38:00Z</dcterms:created>
  <dcterms:modified xsi:type="dcterms:W3CDTF">2025-11-25T10:27:00Z</dcterms:modified>
</cp:coreProperties>
</file>